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CC" w:rsidRPr="000E3FCC" w:rsidRDefault="000E3FCC">
      <w:pPr>
        <w:rPr>
          <w:rFonts w:ascii="Calibri" w:hAnsi="Calibri"/>
          <w:sz w:val="28"/>
          <w:szCs w:val="28"/>
        </w:rPr>
      </w:pPr>
      <w:r w:rsidRPr="000E3FCC">
        <w:rPr>
          <w:rFonts w:ascii="Calibri" w:hAnsi="Calibr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5300663</wp:posOffset>
            </wp:positionH>
            <wp:positionV relativeFrom="paragraph">
              <wp:posOffset>-271463</wp:posOffset>
            </wp:positionV>
            <wp:extent cx="879475" cy="879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57" cy="8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FCC">
        <w:rPr>
          <w:rFonts w:ascii="Calibri" w:hAnsi="Calibri"/>
          <w:sz w:val="28"/>
          <w:szCs w:val="28"/>
        </w:rPr>
        <w:t>Renal Directorate Guidelines</w:t>
      </w:r>
    </w:p>
    <w:p w:rsidR="002B2C9C" w:rsidRPr="000E3FCC" w:rsidRDefault="000E3FCC">
      <w:pPr>
        <w:rPr>
          <w:rFonts w:ascii="Calibri" w:hAnsi="Calibri"/>
          <w:sz w:val="28"/>
          <w:szCs w:val="28"/>
        </w:rPr>
      </w:pPr>
      <w:r w:rsidRPr="000E3FCC">
        <w:rPr>
          <w:rFonts w:ascii="Calibri" w:hAnsi="Calibri"/>
          <w:sz w:val="28"/>
          <w:szCs w:val="28"/>
        </w:rPr>
        <w:t>Royal Infirmary of Edinburgh</w:t>
      </w:r>
    </w:p>
    <w:p w:rsidR="000E3FCC" w:rsidRPr="000E3FCC" w:rsidRDefault="000E3FCC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_____________________________________</w:t>
      </w:r>
      <w:r w:rsidR="002B2C9C">
        <w:rPr>
          <w:rFonts w:ascii="Calibri" w:hAnsi="Calibri"/>
          <w:sz w:val="32"/>
          <w:szCs w:val="32"/>
        </w:rPr>
        <w:t>________________________</w:t>
      </w:r>
    </w:p>
    <w:p w:rsidR="006C5AAD" w:rsidRPr="00BE3388" w:rsidRDefault="000E3FC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Restarting Warfarin: </w:t>
      </w:r>
      <w:r w:rsidR="00FD0D2B" w:rsidRPr="00BE3388">
        <w:rPr>
          <w:rFonts w:ascii="Calibri" w:hAnsi="Calibri"/>
          <w:b/>
          <w:sz w:val="32"/>
          <w:szCs w:val="32"/>
        </w:rPr>
        <w:t xml:space="preserve">Anticoagulation Bridging for Patients with </w:t>
      </w:r>
      <w:r w:rsidR="00270E29" w:rsidRPr="00BE3388">
        <w:rPr>
          <w:rFonts w:ascii="Calibri" w:hAnsi="Calibri"/>
          <w:b/>
          <w:sz w:val="32"/>
          <w:szCs w:val="32"/>
        </w:rPr>
        <w:t>Severe Renal Impairment or End Stage Renal Disease</w:t>
      </w:r>
    </w:p>
    <w:p w:rsidR="0009289E" w:rsidRDefault="0009289E">
      <w:pPr>
        <w:rPr>
          <w:rFonts w:ascii="Calibri" w:hAnsi="Calibri"/>
        </w:rPr>
      </w:pPr>
    </w:p>
    <w:p w:rsidR="00F90970" w:rsidRDefault="00FD0D2B">
      <w:pPr>
        <w:rPr>
          <w:rFonts w:ascii="Calibri" w:hAnsi="Calibri"/>
        </w:rPr>
      </w:pPr>
      <w:r w:rsidRPr="00636FCE">
        <w:rPr>
          <w:rFonts w:ascii="Calibri" w:hAnsi="Calibri"/>
        </w:rPr>
        <w:t xml:space="preserve">Unfractionated heparin </w:t>
      </w:r>
      <w:r w:rsidR="00643578" w:rsidRPr="00636FCE">
        <w:rPr>
          <w:rFonts w:ascii="Calibri" w:hAnsi="Calibri"/>
        </w:rPr>
        <w:t>(U</w:t>
      </w:r>
      <w:r w:rsidR="00F90970">
        <w:rPr>
          <w:rFonts w:ascii="Calibri" w:hAnsi="Calibri"/>
        </w:rPr>
        <w:t>F</w:t>
      </w:r>
      <w:r w:rsidR="00643578" w:rsidRPr="00636FCE">
        <w:rPr>
          <w:rFonts w:ascii="Calibri" w:hAnsi="Calibri"/>
        </w:rPr>
        <w:t xml:space="preserve">H) </w:t>
      </w:r>
      <w:r w:rsidRPr="00636FCE">
        <w:rPr>
          <w:rFonts w:ascii="Calibri" w:hAnsi="Calibri"/>
        </w:rPr>
        <w:t xml:space="preserve">is the preferred anticoagulation option for patients with </w:t>
      </w:r>
      <w:r w:rsidR="00270E29">
        <w:rPr>
          <w:rFonts w:ascii="Calibri" w:hAnsi="Calibri"/>
        </w:rPr>
        <w:t>creatinine clearance &lt;30ml/min</w:t>
      </w:r>
      <w:r w:rsidRPr="00636FCE">
        <w:rPr>
          <w:rFonts w:ascii="Calibri" w:hAnsi="Calibri"/>
        </w:rPr>
        <w:t xml:space="preserve"> as it does not depend on renal clearance. It also has a shorter half-life </w:t>
      </w:r>
      <w:r w:rsidR="00E113BA" w:rsidRPr="00636FCE">
        <w:rPr>
          <w:rFonts w:ascii="Calibri" w:hAnsi="Calibri"/>
        </w:rPr>
        <w:t>and can be fully reversed in the event of bleeding.</w:t>
      </w:r>
      <w:r w:rsidR="00643578" w:rsidRPr="00636FCE">
        <w:rPr>
          <w:rFonts w:ascii="Calibri" w:hAnsi="Calibri"/>
        </w:rPr>
        <w:t xml:space="preserve"> </w:t>
      </w:r>
      <w:r w:rsidR="00F90970">
        <w:rPr>
          <w:rFonts w:ascii="Calibri" w:hAnsi="Calibri"/>
        </w:rPr>
        <w:t>Guidance for initiating UFH infusion can be found in the NHS Lothian Antithrombotic Guide on the Intranet.</w:t>
      </w:r>
    </w:p>
    <w:p w:rsidR="00F90970" w:rsidRDefault="00F90970">
      <w:pPr>
        <w:rPr>
          <w:rFonts w:ascii="Calibri" w:hAnsi="Calibri"/>
        </w:rPr>
      </w:pPr>
    </w:p>
    <w:p w:rsidR="00643578" w:rsidRPr="00636FCE" w:rsidRDefault="00643578" w:rsidP="00165EA4">
      <w:pPr>
        <w:rPr>
          <w:rFonts w:ascii="Calibri" w:hAnsi="Calibri"/>
        </w:rPr>
      </w:pPr>
      <w:r w:rsidRPr="00636FCE">
        <w:rPr>
          <w:rFonts w:ascii="Calibri" w:hAnsi="Calibri"/>
        </w:rPr>
        <w:t>However, dependence o</w:t>
      </w:r>
      <w:r w:rsidR="00F90970">
        <w:rPr>
          <w:rFonts w:ascii="Calibri" w:hAnsi="Calibri"/>
        </w:rPr>
        <w:t>n</w:t>
      </w:r>
      <w:r w:rsidRPr="00636FCE">
        <w:rPr>
          <w:rFonts w:ascii="Calibri" w:hAnsi="Calibri"/>
        </w:rPr>
        <w:t xml:space="preserve"> a continuous </w:t>
      </w:r>
      <w:r w:rsidR="00270E29">
        <w:rPr>
          <w:rFonts w:ascii="Calibri" w:hAnsi="Calibri"/>
        </w:rPr>
        <w:t>intravenous infusion of U</w:t>
      </w:r>
      <w:r w:rsidR="00F90970">
        <w:rPr>
          <w:rFonts w:ascii="Calibri" w:hAnsi="Calibri"/>
        </w:rPr>
        <w:t>F</w:t>
      </w:r>
      <w:r w:rsidR="00270E29">
        <w:rPr>
          <w:rFonts w:ascii="Calibri" w:hAnsi="Calibri"/>
        </w:rPr>
        <w:t xml:space="preserve">H </w:t>
      </w:r>
      <w:r w:rsidR="00527486">
        <w:rPr>
          <w:rFonts w:ascii="Calibri" w:hAnsi="Calibri"/>
        </w:rPr>
        <w:t>prolongs</w:t>
      </w:r>
      <w:r w:rsidRPr="00636FCE">
        <w:rPr>
          <w:rFonts w:ascii="Calibri" w:hAnsi="Calibri"/>
        </w:rPr>
        <w:t xml:space="preserve"> hospital admission</w:t>
      </w:r>
      <w:r w:rsidR="00270E29">
        <w:rPr>
          <w:rFonts w:ascii="Calibri" w:hAnsi="Calibri"/>
        </w:rPr>
        <w:t>.</w:t>
      </w:r>
      <w:r w:rsidR="00F90970">
        <w:rPr>
          <w:rFonts w:ascii="Calibri" w:hAnsi="Calibri"/>
        </w:rPr>
        <w:t xml:space="preserve"> </w:t>
      </w:r>
      <w:r w:rsidRPr="00636FCE">
        <w:rPr>
          <w:rFonts w:ascii="Calibri" w:hAnsi="Calibri"/>
        </w:rPr>
        <w:t>L</w:t>
      </w:r>
      <w:r w:rsidR="00E113BA" w:rsidRPr="00636FCE">
        <w:rPr>
          <w:rFonts w:ascii="Calibri" w:hAnsi="Calibri"/>
        </w:rPr>
        <w:t>ow molecular weight heparin (LMWH) is a mo</w:t>
      </w:r>
      <w:r w:rsidR="00270E29">
        <w:rPr>
          <w:rFonts w:ascii="Calibri" w:hAnsi="Calibri"/>
        </w:rPr>
        <w:t>re convenient option</w:t>
      </w:r>
      <w:r w:rsidR="00165EA4">
        <w:rPr>
          <w:rFonts w:ascii="Calibri" w:hAnsi="Calibri"/>
        </w:rPr>
        <w:t>. With appropriate monitoring, LMWH can</w:t>
      </w:r>
      <w:r w:rsidR="00270E29">
        <w:rPr>
          <w:rFonts w:ascii="Calibri" w:hAnsi="Calibri"/>
        </w:rPr>
        <w:t xml:space="preserve"> be</w:t>
      </w:r>
      <w:r w:rsidR="00165EA4">
        <w:rPr>
          <w:rFonts w:ascii="Calibri" w:hAnsi="Calibri"/>
        </w:rPr>
        <w:t xml:space="preserve"> a</w:t>
      </w:r>
      <w:r w:rsidR="00270E29">
        <w:rPr>
          <w:rFonts w:ascii="Calibri" w:hAnsi="Calibri"/>
        </w:rPr>
        <w:t xml:space="preserve"> </w:t>
      </w:r>
      <w:r w:rsidR="00165EA4">
        <w:rPr>
          <w:rFonts w:ascii="Calibri" w:hAnsi="Calibri"/>
        </w:rPr>
        <w:t>suitable</w:t>
      </w:r>
      <w:r w:rsidR="00270E29">
        <w:rPr>
          <w:rFonts w:ascii="Calibri" w:hAnsi="Calibri"/>
        </w:rPr>
        <w:t xml:space="preserve"> </w:t>
      </w:r>
      <w:r w:rsidR="00165EA4">
        <w:rPr>
          <w:rFonts w:ascii="Calibri" w:hAnsi="Calibri"/>
        </w:rPr>
        <w:t xml:space="preserve">alternative </w:t>
      </w:r>
      <w:r w:rsidR="00270E29">
        <w:rPr>
          <w:rFonts w:ascii="Calibri" w:hAnsi="Calibri"/>
        </w:rPr>
        <w:t xml:space="preserve">when a patient is medically fit for discharge. </w:t>
      </w:r>
      <w:proofErr w:type="gramStart"/>
      <w:r w:rsidRPr="00636FCE">
        <w:rPr>
          <w:rFonts w:ascii="Calibri" w:hAnsi="Calibri"/>
        </w:rPr>
        <w:t>For the purpose of</w:t>
      </w:r>
      <w:proofErr w:type="gramEnd"/>
      <w:r w:rsidRPr="00636FCE">
        <w:rPr>
          <w:rFonts w:ascii="Calibri" w:hAnsi="Calibri"/>
        </w:rPr>
        <w:t xml:space="preserve"> anticoagulation bridging when warfarin treatment is initiated </w:t>
      </w:r>
      <w:r w:rsidR="00270E29">
        <w:rPr>
          <w:rFonts w:ascii="Calibri" w:hAnsi="Calibri"/>
        </w:rPr>
        <w:t xml:space="preserve">or restarted, </w:t>
      </w:r>
      <w:r w:rsidR="00527486">
        <w:rPr>
          <w:rFonts w:ascii="Calibri" w:hAnsi="Calibri"/>
        </w:rPr>
        <w:t xml:space="preserve">treatment dose </w:t>
      </w:r>
      <w:r w:rsidRPr="00636FCE">
        <w:rPr>
          <w:rFonts w:ascii="Calibri" w:hAnsi="Calibri"/>
        </w:rPr>
        <w:t xml:space="preserve">LMWH may be considered. This should be </w:t>
      </w:r>
      <w:r w:rsidR="00527486">
        <w:rPr>
          <w:rFonts w:ascii="Calibri" w:hAnsi="Calibri"/>
        </w:rPr>
        <w:t>assessed</w:t>
      </w:r>
      <w:r w:rsidR="00497BFC">
        <w:rPr>
          <w:rFonts w:ascii="Calibri" w:hAnsi="Calibri"/>
        </w:rPr>
        <w:t xml:space="preserve"> on a case-by-case basis, taking </w:t>
      </w:r>
      <w:r w:rsidRPr="00636FCE">
        <w:rPr>
          <w:rFonts w:ascii="Calibri" w:hAnsi="Calibri"/>
        </w:rPr>
        <w:t>into account the patient’</w:t>
      </w:r>
      <w:r w:rsidR="00497BFC">
        <w:rPr>
          <w:rFonts w:ascii="Calibri" w:hAnsi="Calibri"/>
        </w:rPr>
        <w:t>s thrombosis and bleeding risk, and discussed with senior medical staff in Renal and Haematology is more advanced advice is required. T</w:t>
      </w:r>
      <w:r w:rsidR="00270E29">
        <w:rPr>
          <w:rFonts w:ascii="Calibri" w:hAnsi="Calibri"/>
        </w:rPr>
        <w:t>he use</w:t>
      </w:r>
      <w:r w:rsidR="00165EA4">
        <w:rPr>
          <w:rFonts w:ascii="Calibri" w:hAnsi="Calibri"/>
        </w:rPr>
        <w:t xml:space="preserve"> of LMWH</w:t>
      </w:r>
      <w:r w:rsidR="00497BFC">
        <w:rPr>
          <w:rFonts w:ascii="Calibri" w:hAnsi="Calibri"/>
        </w:rPr>
        <w:t xml:space="preserve"> for bridging</w:t>
      </w:r>
      <w:r w:rsidR="00165EA4">
        <w:rPr>
          <w:rFonts w:ascii="Calibri" w:hAnsi="Calibri"/>
        </w:rPr>
        <w:t xml:space="preserve"> is short term until INR is therapeutic which usually takes about 5 to 7 days. It is important to note that u</w:t>
      </w:r>
      <w:r w:rsidR="00165EA4" w:rsidRPr="00636FCE">
        <w:rPr>
          <w:rFonts w:ascii="Calibri" w:hAnsi="Calibri"/>
        </w:rPr>
        <w:t>se of treatment dose LMWH for prolonged peri</w:t>
      </w:r>
      <w:r w:rsidR="00165EA4">
        <w:rPr>
          <w:rFonts w:ascii="Calibri" w:hAnsi="Calibri"/>
        </w:rPr>
        <w:t>ods in renal impairment may lead to accumulation therefore increasing</w:t>
      </w:r>
      <w:r w:rsidR="00165EA4" w:rsidRPr="00636FCE">
        <w:rPr>
          <w:rFonts w:ascii="Calibri" w:hAnsi="Calibri"/>
        </w:rPr>
        <w:t xml:space="preserve"> the risk of bleeding.</w:t>
      </w:r>
    </w:p>
    <w:p w:rsidR="00643578" w:rsidRDefault="00643578">
      <w:pPr>
        <w:rPr>
          <w:rFonts w:ascii="Calibri" w:hAnsi="Calibri"/>
        </w:rPr>
      </w:pPr>
    </w:p>
    <w:p w:rsidR="0009289E" w:rsidRPr="0009289E" w:rsidRDefault="0009289E">
      <w:pPr>
        <w:rPr>
          <w:rFonts w:ascii="Calibri" w:hAnsi="Calibri"/>
          <w:b/>
          <w:sz w:val="28"/>
          <w:szCs w:val="28"/>
        </w:rPr>
      </w:pPr>
      <w:r w:rsidRPr="0009289E">
        <w:rPr>
          <w:rFonts w:ascii="Calibri" w:hAnsi="Calibri"/>
          <w:b/>
          <w:sz w:val="28"/>
          <w:szCs w:val="28"/>
        </w:rPr>
        <w:t>Low to Moderate Thrombosis Risk</w:t>
      </w:r>
    </w:p>
    <w:p w:rsidR="0009289E" w:rsidRPr="00636FCE" w:rsidRDefault="0009289E">
      <w:pPr>
        <w:rPr>
          <w:rFonts w:ascii="Calibri" w:hAnsi="Calibri"/>
        </w:rPr>
      </w:pPr>
    </w:p>
    <w:p w:rsidR="00643578" w:rsidRPr="00636FCE" w:rsidRDefault="00270E29">
      <w:pPr>
        <w:rPr>
          <w:rFonts w:ascii="Calibri" w:hAnsi="Calibri"/>
        </w:rPr>
      </w:pPr>
      <w:r>
        <w:rPr>
          <w:rFonts w:ascii="Calibri" w:hAnsi="Calibri"/>
        </w:rPr>
        <w:t xml:space="preserve">A reduced dose </w:t>
      </w:r>
      <w:r w:rsidR="003913F3">
        <w:rPr>
          <w:rFonts w:ascii="Calibri" w:hAnsi="Calibri"/>
        </w:rPr>
        <w:t xml:space="preserve">of </w:t>
      </w:r>
      <w:proofErr w:type="spellStart"/>
      <w:r w:rsidR="003913F3">
        <w:rPr>
          <w:rFonts w:ascii="Calibri" w:hAnsi="Calibri"/>
        </w:rPr>
        <w:t>dalteparin</w:t>
      </w:r>
      <w:proofErr w:type="spellEnd"/>
      <w:r w:rsidR="003913F3">
        <w:rPr>
          <w:rFonts w:ascii="Calibri" w:hAnsi="Calibri"/>
        </w:rPr>
        <w:t xml:space="preserve"> to 2/3 of the full treatment dose </w:t>
      </w:r>
      <w:proofErr w:type="gramStart"/>
      <w:r>
        <w:rPr>
          <w:rFonts w:ascii="Calibri" w:hAnsi="Calibri"/>
        </w:rPr>
        <w:t>can be considered</w:t>
      </w:r>
      <w:proofErr w:type="gramEnd"/>
      <w:r>
        <w:rPr>
          <w:rFonts w:ascii="Calibri" w:hAnsi="Calibri"/>
        </w:rPr>
        <w:t xml:space="preserve"> for the following indications: </w:t>
      </w:r>
    </w:p>
    <w:p w:rsidR="007960FA" w:rsidRPr="00636FCE" w:rsidRDefault="00245300" w:rsidP="007960F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7960FA" w:rsidRPr="00636FCE">
        <w:rPr>
          <w:rFonts w:ascii="Calibri" w:hAnsi="Calibri"/>
        </w:rPr>
        <w:t>trial fibrillation</w:t>
      </w:r>
    </w:p>
    <w:p w:rsidR="007960FA" w:rsidRPr="00636FCE" w:rsidRDefault="00245300" w:rsidP="007960F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7960FA" w:rsidRPr="00636FCE">
        <w:rPr>
          <w:rFonts w:ascii="Calibri" w:hAnsi="Calibri"/>
        </w:rPr>
        <w:t>aintenance anticoagulation for deep vein thrombosis (DVT) or pulmonary embolism (PE)</w:t>
      </w:r>
    </w:p>
    <w:p w:rsidR="001821A3" w:rsidRPr="001821A3" w:rsidRDefault="001821A3" w:rsidP="001821A3">
      <w:pPr>
        <w:rPr>
          <w:rFonts w:ascii="Calibri" w:hAnsi="Calibri"/>
        </w:rPr>
      </w:pPr>
      <w:r w:rsidRPr="001821A3">
        <w:rPr>
          <w:rFonts w:ascii="Calibri" w:hAnsi="Calibri"/>
        </w:rPr>
        <w:t>To achieve the most accurate dose for the patient, anti-factor Xa levels should be measured and dose adjusted accordingly.</w:t>
      </w:r>
    </w:p>
    <w:p w:rsidR="00636FCE" w:rsidRPr="001821A3" w:rsidRDefault="00636FCE" w:rsidP="001821A3">
      <w:pPr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3"/>
        <w:gridCol w:w="3819"/>
        <w:gridCol w:w="2830"/>
      </w:tblGrid>
      <w:tr w:rsidR="00636FCE" w:rsidRPr="00636FCE" w:rsidTr="0009289E">
        <w:tc>
          <w:tcPr>
            <w:tcW w:w="2977" w:type="dxa"/>
          </w:tcPr>
          <w:p w:rsidR="00636FCE" w:rsidRPr="0009289E" w:rsidRDefault="00636FCE" w:rsidP="0009289E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>Dose calculation</w:t>
            </w:r>
          </w:p>
        </w:tc>
        <w:tc>
          <w:tcPr>
            <w:tcW w:w="3827" w:type="dxa"/>
          </w:tcPr>
          <w:p w:rsidR="00636FCE" w:rsidRPr="0009289E" w:rsidRDefault="00636FCE" w:rsidP="0009289E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>Anti-factor Xa monitoring</w:t>
            </w:r>
          </w:p>
          <w:p w:rsidR="00636FCE" w:rsidRPr="0009289E" w:rsidRDefault="00636FCE" w:rsidP="0009289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289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4B6999" w:rsidRPr="0009289E">
              <w:rPr>
                <w:rFonts w:ascii="Calibri" w:hAnsi="Calibri"/>
                <w:b/>
                <w:i/>
                <w:sz w:val="20"/>
                <w:szCs w:val="20"/>
              </w:rPr>
              <w:t>Ordered as LMW heparin assay o</w:t>
            </w:r>
            <w:r w:rsidRPr="0009289E">
              <w:rPr>
                <w:rFonts w:ascii="Calibri" w:hAnsi="Calibri"/>
                <w:b/>
                <w:i/>
                <w:sz w:val="20"/>
                <w:szCs w:val="20"/>
              </w:rPr>
              <w:t>n TRAK – collect sample in green tube)</w:t>
            </w:r>
          </w:p>
        </w:tc>
        <w:tc>
          <w:tcPr>
            <w:tcW w:w="2835" w:type="dxa"/>
          </w:tcPr>
          <w:p w:rsidR="00636FCE" w:rsidRPr="0009289E" w:rsidRDefault="00636FCE" w:rsidP="0009289E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>Warfarin</w:t>
            </w:r>
          </w:p>
        </w:tc>
      </w:tr>
      <w:tr w:rsidR="00636FCE" w:rsidRPr="00636FCE" w:rsidTr="0009289E">
        <w:tc>
          <w:tcPr>
            <w:tcW w:w="2977" w:type="dxa"/>
          </w:tcPr>
          <w:p w:rsidR="00636FCE" w:rsidRPr="00636FCE" w:rsidRDefault="00636FCE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Dalteparin</w:t>
            </w:r>
          </w:p>
          <w:p w:rsidR="00636FCE" w:rsidRPr="00636FCE" w:rsidRDefault="00636FCE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130units/kg</w:t>
            </w:r>
          </w:p>
          <w:p w:rsidR="00636FCE" w:rsidRPr="00636FCE" w:rsidRDefault="00636FCE" w:rsidP="00636FCE">
            <w:pPr>
              <w:rPr>
                <w:rFonts w:ascii="Calibri" w:hAnsi="Calibri"/>
              </w:rPr>
            </w:pPr>
          </w:p>
          <w:p w:rsidR="0009289E" w:rsidRPr="0009289E" w:rsidRDefault="00636FCE" w:rsidP="00636FCE">
            <w:p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Please round to nearest available syringe</w:t>
            </w:r>
            <w:r w:rsidR="0009289E" w:rsidRPr="0009289E">
              <w:rPr>
                <w:rFonts w:ascii="Calibri" w:hAnsi="Calibri"/>
                <w:i/>
              </w:rPr>
              <w:t>:</w:t>
            </w:r>
          </w:p>
          <w:p w:rsidR="0009289E" w:rsidRPr="0009289E" w:rsidRDefault="0009289E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5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</w:t>
            </w:r>
          </w:p>
          <w:p w:rsidR="0009289E" w:rsidRPr="0009289E" w:rsidRDefault="0009289E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7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500units</w:t>
            </w:r>
          </w:p>
          <w:p w:rsidR="0009289E" w:rsidRPr="0009289E" w:rsidRDefault="0009289E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10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</w:t>
            </w:r>
          </w:p>
          <w:p w:rsidR="0009289E" w:rsidRPr="0009289E" w:rsidRDefault="0009289E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12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500units</w:t>
            </w:r>
          </w:p>
          <w:p w:rsidR="0009289E" w:rsidRPr="0009289E" w:rsidRDefault="0009289E" w:rsidP="0009289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15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</w:t>
            </w:r>
          </w:p>
          <w:p w:rsidR="00636FCE" w:rsidRPr="00B54A35" w:rsidRDefault="0009289E" w:rsidP="00636FC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18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</w:t>
            </w:r>
          </w:p>
        </w:tc>
        <w:tc>
          <w:tcPr>
            <w:tcW w:w="3827" w:type="dxa"/>
          </w:tcPr>
          <w:p w:rsidR="00636FCE" w:rsidRPr="00636FCE" w:rsidRDefault="00636FCE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After 3</w:t>
            </w:r>
            <w:r w:rsidRPr="00636FCE">
              <w:rPr>
                <w:rFonts w:ascii="Calibri" w:hAnsi="Calibri"/>
                <w:vertAlign w:val="superscript"/>
              </w:rPr>
              <w:t>rd</w:t>
            </w:r>
            <w:r w:rsidRPr="00636FCE">
              <w:rPr>
                <w:rFonts w:ascii="Calibri" w:hAnsi="Calibri"/>
              </w:rPr>
              <w:t xml:space="preserve"> dose</w:t>
            </w:r>
          </w:p>
          <w:p w:rsidR="00636FCE" w:rsidRPr="00636FCE" w:rsidRDefault="00636FCE" w:rsidP="00636FCE">
            <w:pPr>
              <w:rPr>
                <w:rFonts w:ascii="Calibri" w:hAnsi="Calibri"/>
              </w:rPr>
            </w:pPr>
          </w:p>
          <w:p w:rsidR="00636FCE" w:rsidRPr="00636FCE" w:rsidRDefault="00636FCE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This must be done 3-4 hours after dose administration to achieve an accurate peak level</w:t>
            </w:r>
          </w:p>
          <w:p w:rsidR="00636FCE" w:rsidRDefault="00636FCE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(Target 0.5-1</w:t>
            </w:r>
            <w:r w:rsidR="00527486">
              <w:rPr>
                <w:rFonts w:ascii="Calibri" w:hAnsi="Calibri"/>
              </w:rPr>
              <w:t>.0 units/ml</w:t>
            </w:r>
            <w:r w:rsidRPr="00636FCE">
              <w:rPr>
                <w:rFonts w:ascii="Calibri" w:hAnsi="Calibri"/>
              </w:rPr>
              <w:t>)</w:t>
            </w:r>
          </w:p>
          <w:p w:rsidR="003604A8" w:rsidRDefault="003604A8" w:rsidP="00636FCE">
            <w:pPr>
              <w:rPr>
                <w:rFonts w:ascii="Calibri" w:hAnsi="Calibri"/>
              </w:rPr>
            </w:pPr>
          </w:p>
          <w:p w:rsidR="003604A8" w:rsidRPr="00636FCE" w:rsidRDefault="00010151" w:rsidP="00636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Repeat on</w:t>
            </w:r>
            <w:r w:rsidR="003604A8">
              <w:rPr>
                <w:rFonts w:ascii="Calibri" w:hAnsi="Calibri"/>
              </w:rPr>
              <w:t xml:space="preserve"> day 10 if treatment still ongoing</w:t>
            </w:r>
          </w:p>
        </w:tc>
        <w:tc>
          <w:tcPr>
            <w:tcW w:w="2835" w:type="dxa"/>
          </w:tcPr>
          <w:p w:rsidR="00636FCE" w:rsidRPr="00935CAD" w:rsidRDefault="00636FCE" w:rsidP="00636FCE">
            <w:pPr>
              <w:rPr>
                <w:rFonts w:ascii="Calibri" w:hAnsi="Calibri"/>
                <w:u w:val="single"/>
              </w:rPr>
            </w:pPr>
            <w:r w:rsidRPr="00935CAD">
              <w:rPr>
                <w:rFonts w:ascii="Calibri" w:hAnsi="Calibri"/>
                <w:u w:val="single"/>
              </w:rPr>
              <w:t>Outpatients:</w:t>
            </w:r>
          </w:p>
          <w:p w:rsidR="00636FCE" w:rsidRDefault="00636FCE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Restart at usual dose</w:t>
            </w:r>
          </w:p>
          <w:p w:rsidR="00724F57" w:rsidRPr="00636FCE" w:rsidRDefault="00724F57" w:rsidP="00636FCE">
            <w:pPr>
              <w:rPr>
                <w:rFonts w:ascii="Calibri" w:hAnsi="Calibri"/>
              </w:rPr>
            </w:pPr>
          </w:p>
          <w:p w:rsidR="00636FCE" w:rsidRPr="00935CAD" w:rsidRDefault="00636FCE" w:rsidP="00636FCE">
            <w:pPr>
              <w:rPr>
                <w:rFonts w:ascii="Calibri" w:hAnsi="Calibri"/>
                <w:u w:val="single"/>
              </w:rPr>
            </w:pPr>
            <w:r w:rsidRPr="00935CAD">
              <w:rPr>
                <w:rFonts w:ascii="Calibri" w:hAnsi="Calibri"/>
                <w:u w:val="single"/>
              </w:rPr>
              <w:t>Inpatients:</w:t>
            </w:r>
          </w:p>
          <w:p w:rsidR="00636FCE" w:rsidRPr="00636FCE" w:rsidRDefault="00636FCE" w:rsidP="00636FCE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May be restarted at higher dose – please discuss with senior medical staff</w:t>
            </w:r>
          </w:p>
        </w:tc>
        <w:bookmarkStart w:id="0" w:name="_GoBack"/>
        <w:bookmarkEnd w:id="0"/>
      </w:tr>
    </w:tbl>
    <w:p w:rsidR="00165EA4" w:rsidRDefault="00165EA4" w:rsidP="00636FCE">
      <w:pPr>
        <w:rPr>
          <w:rFonts w:ascii="Calibri" w:hAnsi="Calibri"/>
          <w:b/>
          <w:sz w:val="28"/>
          <w:szCs w:val="28"/>
        </w:rPr>
      </w:pPr>
    </w:p>
    <w:p w:rsidR="0009289E" w:rsidRPr="000E3FCC" w:rsidRDefault="0009289E" w:rsidP="00636FCE">
      <w:pPr>
        <w:rPr>
          <w:rFonts w:ascii="Calibri" w:hAnsi="Calibri"/>
        </w:rPr>
      </w:pPr>
      <w:r w:rsidRPr="0009289E">
        <w:rPr>
          <w:rFonts w:ascii="Calibri" w:hAnsi="Calibri"/>
          <w:b/>
          <w:sz w:val="28"/>
          <w:szCs w:val="28"/>
        </w:rPr>
        <w:t>High Thrombosis Risk</w:t>
      </w:r>
    </w:p>
    <w:p w:rsidR="0009289E" w:rsidRDefault="0009289E" w:rsidP="00636FCE">
      <w:pPr>
        <w:rPr>
          <w:rFonts w:ascii="Calibri" w:hAnsi="Calibri"/>
        </w:rPr>
      </w:pPr>
    </w:p>
    <w:p w:rsidR="00636FCE" w:rsidRDefault="00F90970" w:rsidP="00636FCE">
      <w:pPr>
        <w:rPr>
          <w:rFonts w:ascii="Calibri" w:hAnsi="Calibri"/>
        </w:rPr>
      </w:pPr>
      <w:r>
        <w:rPr>
          <w:rFonts w:ascii="Calibri" w:hAnsi="Calibri"/>
        </w:rPr>
        <w:t>Anticoagulation b</w:t>
      </w:r>
      <w:r w:rsidR="00636FCE" w:rsidRPr="00636FCE">
        <w:rPr>
          <w:rFonts w:ascii="Calibri" w:hAnsi="Calibri"/>
        </w:rPr>
        <w:t xml:space="preserve">ridging with LMWH </w:t>
      </w:r>
      <w:r>
        <w:rPr>
          <w:rFonts w:ascii="Calibri" w:hAnsi="Calibri"/>
        </w:rPr>
        <w:t xml:space="preserve">for conditions with high thrombosis risk </w:t>
      </w:r>
      <w:r w:rsidR="00636FCE" w:rsidRPr="00636FCE">
        <w:rPr>
          <w:rFonts w:ascii="Calibri" w:hAnsi="Calibri"/>
        </w:rPr>
        <w:t xml:space="preserve">must be </w:t>
      </w:r>
      <w:r>
        <w:rPr>
          <w:rFonts w:ascii="Calibri" w:hAnsi="Calibri"/>
        </w:rPr>
        <w:t>carefully considered.</w:t>
      </w:r>
      <w:r w:rsidR="00636FCE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636FCE">
        <w:rPr>
          <w:rFonts w:ascii="Calibri" w:hAnsi="Calibri"/>
        </w:rPr>
        <w:t xml:space="preserve"> reduced dose of LMWH may not provide full anticoagulation therefore may not be suitable</w:t>
      </w:r>
      <w:r>
        <w:rPr>
          <w:rFonts w:ascii="Calibri" w:hAnsi="Calibri"/>
        </w:rPr>
        <w:t xml:space="preserve"> in these cases</w:t>
      </w:r>
      <w:r w:rsidR="004B6999">
        <w:rPr>
          <w:rFonts w:ascii="Calibri" w:hAnsi="Calibri"/>
        </w:rPr>
        <w:t>. Bridging with intravenous</w:t>
      </w:r>
      <w:r w:rsidR="0004372B">
        <w:rPr>
          <w:rFonts w:ascii="Calibri" w:hAnsi="Calibri"/>
        </w:rPr>
        <w:t xml:space="preserve"> infusion of</w:t>
      </w:r>
      <w:r w:rsidR="004B6999">
        <w:rPr>
          <w:rFonts w:ascii="Calibri" w:hAnsi="Calibri"/>
        </w:rPr>
        <w:t xml:space="preserve"> U</w:t>
      </w:r>
      <w:r>
        <w:rPr>
          <w:rFonts w:ascii="Calibri" w:hAnsi="Calibri"/>
        </w:rPr>
        <w:t>FH</w:t>
      </w:r>
      <w:r w:rsidR="004B6999">
        <w:rPr>
          <w:rFonts w:ascii="Calibri" w:hAnsi="Calibri"/>
        </w:rPr>
        <w:t xml:space="preserve"> is the preferred choice in these situations. Examples of high-risk conditions are</w:t>
      </w:r>
      <w:r w:rsidR="00636FCE">
        <w:rPr>
          <w:rFonts w:ascii="Calibri" w:hAnsi="Calibri"/>
        </w:rPr>
        <w:t>:</w:t>
      </w:r>
    </w:p>
    <w:p w:rsidR="00636FCE" w:rsidRDefault="00636FCE" w:rsidP="00636FC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Anti-phospholipid syndrome</w:t>
      </w:r>
    </w:p>
    <w:p w:rsidR="00DB1481" w:rsidRDefault="00DB1481" w:rsidP="00636FC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Anti</w:t>
      </w:r>
      <w:r w:rsidR="00DE6180">
        <w:rPr>
          <w:rFonts w:ascii="Calibri" w:hAnsi="Calibri"/>
        </w:rPr>
        <w:t>-</w:t>
      </w:r>
      <w:r>
        <w:rPr>
          <w:rFonts w:ascii="Calibri" w:hAnsi="Calibri"/>
        </w:rPr>
        <w:t>thrombin deficiency</w:t>
      </w:r>
    </w:p>
    <w:p w:rsidR="00636FCE" w:rsidRDefault="00636FCE" w:rsidP="00636FC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Protein C/S deficiency</w:t>
      </w:r>
    </w:p>
    <w:p w:rsidR="004B6999" w:rsidRDefault="004B6999" w:rsidP="00636FC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Metallic heart valve (mitral and aortic)</w:t>
      </w:r>
      <w:r w:rsidR="00CB28D6">
        <w:rPr>
          <w:rFonts w:ascii="Calibri" w:hAnsi="Calibri"/>
        </w:rPr>
        <w:t xml:space="preserve"> – </w:t>
      </w:r>
      <w:r w:rsidR="00497BFC">
        <w:rPr>
          <w:rFonts w:ascii="Calibri" w:hAnsi="Calibri"/>
        </w:rPr>
        <w:t>twice daily dosing</w:t>
      </w:r>
      <w:r w:rsidR="00CB28D6">
        <w:rPr>
          <w:rFonts w:ascii="Calibri" w:hAnsi="Calibri"/>
        </w:rPr>
        <w:t xml:space="preserve"> may be recommended in some cases</w:t>
      </w:r>
      <w:r w:rsidR="00497BFC">
        <w:rPr>
          <w:rFonts w:ascii="Calibri" w:hAnsi="Calibri"/>
        </w:rPr>
        <w:t>. Please discuss with Haematology if this op</w:t>
      </w:r>
      <w:r w:rsidR="007502A6">
        <w:rPr>
          <w:rFonts w:ascii="Calibri" w:hAnsi="Calibri"/>
        </w:rPr>
        <w:t>tion is to be considered</w:t>
      </w:r>
    </w:p>
    <w:p w:rsidR="006C31BF" w:rsidRDefault="006C31BF" w:rsidP="006C31BF">
      <w:pPr>
        <w:pStyle w:val="ListParagraph"/>
        <w:ind w:left="1080"/>
        <w:rPr>
          <w:rFonts w:ascii="Calibri" w:hAnsi="Calibri"/>
        </w:rPr>
      </w:pPr>
    </w:p>
    <w:p w:rsidR="00497BFC" w:rsidRDefault="004B6999" w:rsidP="004B6999">
      <w:pPr>
        <w:rPr>
          <w:rFonts w:ascii="Calibri" w:hAnsi="Calibri"/>
        </w:rPr>
      </w:pPr>
      <w:r>
        <w:rPr>
          <w:rFonts w:ascii="Calibri" w:hAnsi="Calibri"/>
        </w:rPr>
        <w:t>Dalteparin is the LMWH of choice in NHS</w:t>
      </w:r>
      <w:r w:rsidR="00724F57">
        <w:rPr>
          <w:rFonts w:ascii="Calibri" w:hAnsi="Calibri"/>
        </w:rPr>
        <w:t xml:space="preserve"> Lothian. However, for cases with high thrombosis risk, </w:t>
      </w:r>
      <w:r>
        <w:rPr>
          <w:rFonts w:ascii="Calibri" w:hAnsi="Calibri"/>
        </w:rPr>
        <w:t xml:space="preserve">tinzaparin may be considered </w:t>
      </w:r>
      <w:r w:rsidR="00724F57">
        <w:rPr>
          <w:rFonts w:ascii="Calibri" w:hAnsi="Calibri"/>
        </w:rPr>
        <w:t xml:space="preserve">at its full treatment </w:t>
      </w:r>
      <w:proofErr w:type="gramStart"/>
      <w:r w:rsidR="00724F57">
        <w:rPr>
          <w:rFonts w:ascii="Calibri" w:hAnsi="Calibri"/>
        </w:rPr>
        <w:t>dose</w:t>
      </w:r>
      <w:proofErr w:type="gramEnd"/>
      <w:r w:rsidR="00724F57">
        <w:rPr>
          <w:rFonts w:ascii="Calibri" w:hAnsi="Calibri"/>
        </w:rPr>
        <w:t xml:space="preserve"> </w:t>
      </w:r>
      <w:r>
        <w:rPr>
          <w:rFonts w:ascii="Calibri" w:hAnsi="Calibri"/>
        </w:rPr>
        <w:t>as it is</w:t>
      </w:r>
      <w:r w:rsidR="00F90970">
        <w:rPr>
          <w:rFonts w:ascii="Calibri" w:hAnsi="Calibri"/>
        </w:rPr>
        <w:t xml:space="preserve"> the LMWH</w:t>
      </w:r>
      <w:r>
        <w:rPr>
          <w:rFonts w:ascii="Calibri" w:hAnsi="Calibri"/>
        </w:rPr>
        <w:t xml:space="preserve"> least dependent on renal clearance. </w:t>
      </w:r>
    </w:p>
    <w:p w:rsidR="00497BFC" w:rsidRDefault="00497BFC" w:rsidP="004B6999">
      <w:pPr>
        <w:rPr>
          <w:rFonts w:ascii="Calibri" w:hAnsi="Calibri"/>
        </w:rPr>
      </w:pPr>
    </w:p>
    <w:p w:rsidR="004B6999" w:rsidRDefault="004B6999" w:rsidP="004B6999">
      <w:pPr>
        <w:rPr>
          <w:rFonts w:ascii="Calibri" w:hAnsi="Calibri"/>
        </w:rPr>
      </w:pPr>
      <w:r>
        <w:rPr>
          <w:rFonts w:ascii="Calibri" w:hAnsi="Calibri"/>
        </w:rPr>
        <w:t xml:space="preserve">Please note that treatment dose tinzaparin syringes are graduated and may not be suitable for use for all patients, depending on their ability to </w:t>
      </w:r>
      <w:r w:rsidR="00F90970">
        <w:rPr>
          <w:rFonts w:ascii="Calibri" w:hAnsi="Calibri"/>
        </w:rPr>
        <w:t xml:space="preserve">measure and </w:t>
      </w:r>
      <w:r>
        <w:rPr>
          <w:rFonts w:ascii="Calibri" w:hAnsi="Calibri"/>
        </w:rPr>
        <w:t>discard the excess volume to achieve the desired dose.</w:t>
      </w:r>
      <w:r w:rsidR="00724F57">
        <w:rPr>
          <w:rFonts w:ascii="Calibri" w:hAnsi="Calibri"/>
        </w:rPr>
        <w:t xml:space="preserve"> Clear instructions are available in the product leaflet.</w:t>
      </w:r>
      <w:r w:rsidR="00497BFC">
        <w:rPr>
          <w:rFonts w:ascii="Calibri" w:hAnsi="Calibri"/>
        </w:rPr>
        <w:t xml:space="preserve"> </w:t>
      </w:r>
      <w:proofErr w:type="gramStart"/>
      <w:r w:rsidR="00497BFC">
        <w:rPr>
          <w:rFonts w:ascii="Calibri" w:hAnsi="Calibri"/>
        </w:rPr>
        <w:t>Assessment on patient dexterity and ability to self-administer can be completed by any member of the multidisciplinary team who is involved with discharge planning for the patient</w:t>
      </w:r>
      <w:proofErr w:type="gramEnd"/>
      <w:r w:rsidR="00497BFC">
        <w:rPr>
          <w:rFonts w:ascii="Calibri" w:hAnsi="Calibri"/>
        </w:rPr>
        <w:t xml:space="preserve">. Assistance by the district nursing team for administration of injections post-discharge </w:t>
      </w:r>
      <w:proofErr w:type="gramStart"/>
      <w:r w:rsidR="00497BFC">
        <w:rPr>
          <w:rFonts w:ascii="Calibri" w:hAnsi="Calibri"/>
        </w:rPr>
        <w:t>can be arranged</w:t>
      </w:r>
      <w:proofErr w:type="gramEnd"/>
      <w:r w:rsidR="00497BFC">
        <w:rPr>
          <w:rFonts w:ascii="Calibri" w:hAnsi="Calibri"/>
        </w:rPr>
        <w:t xml:space="preserve"> via the GP surgery if required.</w:t>
      </w:r>
    </w:p>
    <w:p w:rsidR="00935CAD" w:rsidRDefault="00935CAD" w:rsidP="004B6999">
      <w:pPr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4"/>
        <w:gridCol w:w="3678"/>
        <w:gridCol w:w="2970"/>
      </w:tblGrid>
      <w:tr w:rsidR="0009289E" w:rsidRPr="00636FCE" w:rsidTr="0009289E">
        <w:tc>
          <w:tcPr>
            <w:tcW w:w="2977" w:type="dxa"/>
          </w:tcPr>
          <w:p w:rsidR="00935CAD" w:rsidRPr="0009289E" w:rsidRDefault="00935CAD" w:rsidP="00270E29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>Dose calculation</w:t>
            </w:r>
          </w:p>
        </w:tc>
        <w:tc>
          <w:tcPr>
            <w:tcW w:w="3686" w:type="dxa"/>
          </w:tcPr>
          <w:p w:rsidR="00935CAD" w:rsidRPr="0009289E" w:rsidRDefault="00935CAD" w:rsidP="00270E29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>Anti-factor Xa monitoring</w:t>
            </w:r>
          </w:p>
          <w:p w:rsidR="00935CAD" w:rsidRPr="0009289E" w:rsidRDefault="00935CAD" w:rsidP="00270E2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9289E">
              <w:rPr>
                <w:rFonts w:ascii="Calibri" w:hAnsi="Calibri"/>
                <w:b/>
                <w:i/>
                <w:sz w:val="20"/>
                <w:szCs w:val="20"/>
              </w:rPr>
              <w:t>(Ordered as LMW heparin assay on TRAK – collect sample in green tube)</w:t>
            </w:r>
          </w:p>
        </w:tc>
        <w:tc>
          <w:tcPr>
            <w:tcW w:w="2976" w:type="dxa"/>
          </w:tcPr>
          <w:p w:rsidR="00935CAD" w:rsidRPr="0009289E" w:rsidRDefault="00935CAD" w:rsidP="00270E29">
            <w:pPr>
              <w:rPr>
                <w:rFonts w:ascii="Calibri" w:hAnsi="Calibri"/>
                <w:b/>
              </w:rPr>
            </w:pPr>
            <w:r w:rsidRPr="0009289E">
              <w:rPr>
                <w:rFonts w:ascii="Calibri" w:hAnsi="Calibri"/>
                <w:b/>
              </w:rPr>
              <w:t>Warfarin</w:t>
            </w:r>
          </w:p>
        </w:tc>
      </w:tr>
      <w:tr w:rsidR="0009289E" w:rsidRPr="00636FCE" w:rsidTr="00B54A35">
        <w:trPr>
          <w:trHeight w:val="2964"/>
        </w:trPr>
        <w:tc>
          <w:tcPr>
            <w:tcW w:w="2977" w:type="dxa"/>
          </w:tcPr>
          <w:p w:rsidR="00935CAD" w:rsidRPr="00636FCE" w:rsidRDefault="00935CAD" w:rsidP="00270E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Tinzaparin</w:t>
            </w:r>
            <w:proofErr w:type="spellEnd"/>
          </w:p>
          <w:p w:rsidR="00935CAD" w:rsidRPr="00636FCE" w:rsidRDefault="00935CAD" w:rsidP="00270E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175</w:t>
            </w:r>
            <w:r w:rsidRPr="00636FCE">
              <w:rPr>
                <w:rFonts w:ascii="Calibri" w:hAnsi="Calibri"/>
              </w:rPr>
              <w:t>units/kg</w:t>
            </w:r>
          </w:p>
          <w:p w:rsidR="00935CAD" w:rsidRPr="00636FCE" w:rsidRDefault="00935CAD" w:rsidP="00270E29">
            <w:pPr>
              <w:rPr>
                <w:rFonts w:ascii="Calibri" w:hAnsi="Calibri"/>
              </w:rPr>
            </w:pPr>
          </w:p>
          <w:p w:rsidR="00935CAD" w:rsidRPr="0009289E" w:rsidRDefault="00935CAD" w:rsidP="00270E29">
            <w:p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Please round to nearest 1000units</w:t>
            </w:r>
            <w:r w:rsidR="0009289E" w:rsidRPr="0009289E">
              <w:rPr>
                <w:rFonts w:ascii="Calibri" w:hAnsi="Calibri"/>
                <w:i/>
              </w:rPr>
              <w:t xml:space="preserve">. </w:t>
            </w:r>
            <w:r w:rsidR="0009289E" w:rsidRPr="0009289E">
              <w:rPr>
                <w:rFonts w:ascii="Calibri" w:hAnsi="Calibri"/>
                <w:i/>
                <w:u w:val="single"/>
              </w:rPr>
              <w:t>Graduated</w:t>
            </w:r>
            <w:r w:rsidR="0009289E" w:rsidRPr="0009289E">
              <w:rPr>
                <w:rFonts w:ascii="Calibri" w:hAnsi="Calibri"/>
                <w:i/>
              </w:rPr>
              <w:t xml:space="preserve"> syringes are available in the following strengths:</w:t>
            </w:r>
          </w:p>
          <w:p w:rsidR="0009289E" w:rsidRPr="0009289E" w:rsidRDefault="0009289E" w:rsidP="0009289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10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 (red)</w:t>
            </w:r>
          </w:p>
          <w:p w:rsidR="0009289E" w:rsidRPr="0009289E" w:rsidRDefault="0009289E" w:rsidP="0009289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</w:rPr>
            </w:pPr>
            <w:r w:rsidRPr="0009289E">
              <w:rPr>
                <w:rFonts w:ascii="Calibri" w:hAnsi="Calibri"/>
                <w:i/>
              </w:rPr>
              <w:t>14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 (yellow)</w:t>
            </w:r>
          </w:p>
          <w:p w:rsidR="008459D3" w:rsidRDefault="0009289E">
            <w:pPr>
              <w:pStyle w:val="ListParagraph"/>
              <w:numPr>
                <w:ilvl w:val="0"/>
                <w:numId w:val="5"/>
              </w:numPr>
            </w:pPr>
            <w:r w:rsidRPr="0009289E">
              <w:rPr>
                <w:rFonts w:ascii="Calibri" w:hAnsi="Calibri"/>
                <w:i/>
              </w:rPr>
              <w:t>18</w:t>
            </w:r>
            <w:r w:rsidR="00527486">
              <w:rPr>
                <w:rFonts w:ascii="Calibri" w:hAnsi="Calibri"/>
                <w:i/>
              </w:rPr>
              <w:t>,</w:t>
            </w:r>
            <w:r w:rsidRPr="0009289E">
              <w:rPr>
                <w:rFonts w:ascii="Calibri" w:hAnsi="Calibri"/>
                <w:i/>
              </w:rPr>
              <w:t>000units (blue)</w:t>
            </w:r>
          </w:p>
        </w:tc>
        <w:tc>
          <w:tcPr>
            <w:tcW w:w="3686" w:type="dxa"/>
          </w:tcPr>
          <w:p w:rsidR="00527486" w:rsidRPr="00636FCE" w:rsidRDefault="00527486" w:rsidP="00527486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After 3</w:t>
            </w:r>
            <w:r w:rsidRPr="00636FCE">
              <w:rPr>
                <w:rFonts w:ascii="Calibri" w:hAnsi="Calibri"/>
                <w:vertAlign w:val="superscript"/>
              </w:rPr>
              <w:t>rd</w:t>
            </w:r>
            <w:r w:rsidRPr="00636FCE">
              <w:rPr>
                <w:rFonts w:ascii="Calibri" w:hAnsi="Calibri"/>
              </w:rPr>
              <w:t xml:space="preserve"> dose</w:t>
            </w:r>
          </w:p>
          <w:p w:rsidR="00527486" w:rsidRPr="00636FCE" w:rsidRDefault="00527486" w:rsidP="00527486">
            <w:pPr>
              <w:rPr>
                <w:rFonts w:ascii="Calibri" w:hAnsi="Calibri"/>
              </w:rPr>
            </w:pPr>
          </w:p>
          <w:p w:rsidR="00527486" w:rsidRPr="00636FCE" w:rsidRDefault="00527486" w:rsidP="00527486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This must be done 3-4 hours after dose administration to achieve an accurate peak level</w:t>
            </w:r>
          </w:p>
          <w:p w:rsidR="00527486" w:rsidRDefault="00527486" w:rsidP="00527486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(Target 0.5-1</w:t>
            </w:r>
            <w:r>
              <w:rPr>
                <w:rFonts w:ascii="Calibri" w:hAnsi="Calibri"/>
              </w:rPr>
              <w:t>.0 units/ml</w:t>
            </w:r>
            <w:r w:rsidRPr="00636FCE">
              <w:rPr>
                <w:rFonts w:ascii="Calibri" w:hAnsi="Calibri"/>
              </w:rPr>
              <w:t>)</w:t>
            </w:r>
          </w:p>
          <w:p w:rsidR="00527486" w:rsidRDefault="00527486" w:rsidP="00527486">
            <w:pPr>
              <w:rPr>
                <w:rFonts w:ascii="Calibri" w:hAnsi="Calibri"/>
              </w:rPr>
            </w:pPr>
          </w:p>
          <w:p w:rsidR="003604A8" w:rsidRPr="00636FCE" w:rsidRDefault="00527486" w:rsidP="00270E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Repeat on day 10 if treatment still ongoing</w:t>
            </w:r>
          </w:p>
        </w:tc>
        <w:tc>
          <w:tcPr>
            <w:tcW w:w="2976" w:type="dxa"/>
          </w:tcPr>
          <w:p w:rsidR="00935CAD" w:rsidRPr="00935CAD" w:rsidRDefault="00935CAD" w:rsidP="00270E29">
            <w:pPr>
              <w:rPr>
                <w:rFonts w:ascii="Calibri" w:hAnsi="Calibri"/>
                <w:u w:val="single"/>
              </w:rPr>
            </w:pPr>
            <w:r w:rsidRPr="00935CAD">
              <w:rPr>
                <w:rFonts w:ascii="Calibri" w:hAnsi="Calibri"/>
                <w:u w:val="single"/>
              </w:rPr>
              <w:t>Outpatients:</w:t>
            </w:r>
          </w:p>
          <w:p w:rsidR="00935CAD" w:rsidRDefault="00935CAD" w:rsidP="00270E29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Restart at usual dose</w:t>
            </w:r>
          </w:p>
          <w:p w:rsidR="00724F57" w:rsidRPr="00636FCE" w:rsidRDefault="00724F57" w:rsidP="00270E29">
            <w:pPr>
              <w:rPr>
                <w:rFonts w:ascii="Calibri" w:hAnsi="Calibri"/>
              </w:rPr>
            </w:pPr>
          </w:p>
          <w:p w:rsidR="00935CAD" w:rsidRPr="00935CAD" w:rsidRDefault="00935CAD" w:rsidP="00270E29">
            <w:pPr>
              <w:rPr>
                <w:rFonts w:ascii="Calibri" w:hAnsi="Calibri"/>
                <w:u w:val="single"/>
              </w:rPr>
            </w:pPr>
            <w:r w:rsidRPr="00935CAD">
              <w:rPr>
                <w:rFonts w:ascii="Calibri" w:hAnsi="Calibri"/>
                <w:u w:val="single"/>
              </w:rPr>
              <w:t>Inpatients:</w:t>
            </w:r>
          </w:p>
          <w:p w:rsidR="00935CAD" w:rsidRPr="00636FCE" w:rsidRDefault="00935CAD" w:rsidP="00270E29">
            <w:pPr>
              <w:rPr>
                <w:rFonts w:ascii="Calibri" w:hAnsi="Calibri"/>
              </w:rPr>
            </w:pPr>
            <w:r w:rsidRPr="00636FCE">
              <w:rPr>
                <w:rFonts w:ascii="Calibri" w:hAnsi="Calibri"/>
              </w:rPr>
              <w:t>May be restarted at higher dose – please discuss with senior medical staff</w:t>
            </w:r>
          </w:p>
        </w:tc>
      </w:tr>
    </w:tbl>
    <w:p w:rsidR="00F90970" w:rsidRDefault="00F90970" w:rsidP="004B6999">
      <w:pPr>
        <w:rPr>
          <w:rFonts w:ascii="Calibri" w:hAnsi="Calibri"/>
          <w:b/>
          <w:sz w:val="28"/>
          <w:szCs w:val="28"/>
        </w:rPr>
      </w:pPr>
    </w:p>
    <w:p w:rsidR="006C31BF" w:rsidRPr="006C31BF" w:rsidRDefault="007502A6" w:rsidP="004B699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</w:t>
      </w:r>
      <w:r w:rsidR="006C31BF" w:rsidRPr="006C31BF">
        <w:rPr>
          <w:rFonts w:ascii="Calibri" w:hAnsi="Calibri"/>
          <w:b/>
          <w:sz w:val="28"/>
          <w:szCs w:val="28"/>
        </w:rPr>
        <w:t>leeding Risk</w:t>
      </w:r>
    </w:p>
    <w:p w:rsidR="006C31BF" w:rsidRDefault="006C31BF" w:rsidP="004B6999">
      <w:pPr>
        <w:rPr>
          <w:rFonts w:ascii="Calibri" w:hAnsi="Calibri"/>
        </w:rPr>
      </w:pPr>
    </w:p>
    <w:p w:rsidR="004B6999" w:rsidRDefault="004B6999" w:rsidP="004B6999">
      <w:pPr>
        <w:rPr>
          <w:rFonts w:ascii="Calibri" w:hAnsi="Calibri"/>
        </w:rPr>
      </w:pPr>
      <w:r>
        <w:rPr>
          <w:rFonts w:ascii="Calibri" w:hAnsi="Calibri"/>
        </w:rPr>
        <w:t>For patients where bleeding risk is significant, bridging may be initiated with intravenous infusion of U</w:t>
      </w:r>
      <w:r w:rsidR="00527486">
        <w:rPr>
          <w:rFonts w:ascii="Calibri" w:hAnsi="Calibri"/>
        </w:rPr>
        <w:t>F</w:t>
      </w:r>
      <w:r w:rsidR="00F90970">
        <w:rPr>
          <w:rFonts w:ascii="Calibri" w:hAnsi="Calibri"/>
        </w:rPr>
        <w:t>H</w:t>
      </w:r>
      <w:r>
        <w:rPr>
          <w:rFonts w:ascii="Calibri" w:hAnsi="Calibri"/>
        </w:rPr>
        <w:t xml:space="preserve"> and then switched to LMWH when safe to do so. Examples of such situations are:</w:t>
      </w:r>
    </w:p>
    <w:p w:rsidR="004B6999" w:rsidRPr="004B6999" w:rsidRDefault="004B6999" w:rsidP="004B699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B6999">
        <w:rPr>
          <w:rFonts w:ascii="Calibri" w:hAnsi="Calibri"/>
        </w:rPr>
        <w:t>Post-biopsy</w:t>
      </w:r>
    </w:p>
    <w:p w:rsidR="004B6999" w:rsidRDefault="004B6999" w:rsidP="004B699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Post-surg</w:t>
      </w:r>
      <w:r w:rsidR="00527486">
        <w:rPr>
          <w:rFonts w:ascii="Calibri" w:hAnsi="Calibri"/>
        </w:rPr>
        <w:t>ery</w:t>
      </w:r>
      <w:r>
        <w:rPr>
          <w:rFonts w:ascii="Calibri" w:hAnsi="Calibri"/>
        </w:rPr>
        <w:t xml:space="preserve"> </w:t>
      </w:r>
      <w:r w:rsidR="00527486">
        <w:rPr>
          <w:rFonts w:ascii="Calibri" w:hAnsi="Calibri"/>
        </w:rPr>
        <w:t xml:space="preserve">or invasive procedure </w:t>
      </w:r>
      <w:r>
        <w:rPr>
          <w:rFonts w:ascii="Calibri" w:hAnsi="Calibri"/>
        </w:rPr>
        <w:t>– please involve surg</w:t>
      </w:r>
      <w:r w:rsidR="00527486">
        <w:rPr>
          <w:rFonts w:ascii="Calibri" w:hAnsi="Calibri"/>
        </w:rPr>
        <w:t>ical team</w:t>
      </w:r>
      <w:r>
        <w:rPr>
          <w:rFonts w:ascii="Calibri" w:hAnsi="Calibri"/>
        </w:rPr>
        <w:t xml:space="preserve"> when considering switch as </w:t>
      </w:r>
      <w:r w:rsidR="00527486">
        <w:rPr>
          <w:rFonts w:ascii="Calibri" w:hAnsi="Calibri"/>
        </w:rPr>
        <w:t xml:space="preserve">the need for further surgical intervention may be imminent or uncertain </w:t>
      </w:r>
    </w:p>
    <w:p w:rsidR="008459D3" w:rsidRDefault="004B6999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Recent hemorrhagic event</w:t>
      </w:r>
    </w:p>
    <w:p w:rsidR="00F90970" w:rsidRDefault="00F90970" w:rsidP="00935CAD">
      <w:pPr>
        <w:rPr>
          <w:rFonts w:ascii="Calibri" w:hAnsi="Calibri"/>
        </w:rPr>
      </w:pPr>
    </w:p>
    <w:p w:rsidR="0004372B" w:rsidRPr="0004372B" w:rsidRDefault="00F96F69" w:rsidP="00935CAD">
      <w:pPr>
        <w:rPr>
          <w:rFonts w:ascii="Calibri" w:hAnsi="Calibri"/>
          <w:b/>
          <w:sz w:val="28"/>
          <w:szCs w:val="28"/>
        </w:rPr>
      </w:pPr>
      <w:r w:rsidRPr="00F96F69">
        <w:rPr>
          <w:rFonts w:ascii="Calibri" w:hAnsi="Calibri"/>
          <w:b/>
          <w:sz w:val="28"/>
          <w:szCs w:val="28"/>
        </w:rPr>
        <w:t>Switching from UFH Infusion to LMWH</w:t>
      </w:r>
    </w:p>
    <w:p w:rsidR="0004372B" w:rsidRDefault="0004372B" w:rsidP="00935CAD">
      <w:pPr>
        <w:rPr>
          <w:rFonts w:ascii="Calibri" w:hAnsi="Calibri"/>
        </w:rPr>
      </w:pPr>
    </w:p>
    <w:p w:rsidR="00935CAD" w:rsidRPr="00935CAD" w:rsidRDefault="0004372B" w:rsidP="00935CAD">
      <w:pPr>
        <w:rPr>
          <w:rFonts w:ascii="Calibri" w:hAnsi="Calibri"/>
        </w:rPr>
      </w:pPr>
      <w:r>
        <w:rPr>
          <w:rFonts w:ascii="Calibri" w:hAnsi="Calibri"/>
        </w:rPr>
        <w:t>In most cases, the desired dose of LMWH should be given at the same time the UFH infusion is stopped to allow for cross-over of both agents. There may be selected cases where this may d</w:t>
      </w:r>
      <w:r w:rsidR="00527486">
        <w:rPr>
          <w:rFonts w:ascii="Calibri" w:hAnsi="Calibri"/>
        </w:rPr>
        <w:t>iffer</w:t>
      </w:r>
      <w:r>
        <w:rPr>
          <w:rFonts w:ascii="Calibri" w:hAnsi="Calibri"/>
        </w:rPr>
        <w:t xml:space="preserve"> depending on patient requirements. Please discuss with senior medical staff or consult Haematology or Specialist Pharmacists for advice if required.</w:t>
      </w:r>
    </w:p>
    <w:sectPr w:rsidR="00935CAD" w:rsidRPr="00935CAD" w:rsidSect="00833783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BE" w:rsidRDefault="007D66BE" w:rsidP="00474E43">
      <w:r>
        <w:separator/>
      </w:r>
    </w:p>
  </w:endnote>
  <w:endnote w:type="continuationSeparator" w:id="0">
    <w:p w:rsidR="007D66BE" w:rsidRDefault="007D66BE" w:rsidP="0047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43" w:rsidRPr="00474E43" w:rsidRDefault="00474E43" w:rsidP="00474E43">
    <w:pPr>
      <w:pStyle w:val="Footer"/>
      <w:jc w:val="right"/>
      <w:rPr>
        <w:rFonts w:ascii="Calibri" w:hAnsi="Calibri"/>
        <w:i/>
        <w:sz w:val="20"/>
        <w:szCs w:val="20"/>
      </w:rPr>
    </w:pPr>
    <w:r w:rsidRPr="00474E43">
      <w:rPr>
        <w:rFonts w:ascii="Calibri" w:hAnsi="Calibri"/>
        <w:i/>
        <w:sz w:val="20"/>
        <w:szCs w:val="20"/>
      </w:rPr>
      <w:t xml:space="preserve">Written by: Jin </w:t>
    </w:r>
    <w:r w:rsidR="000E3FCC">
      <w:rPr>
        <w:rFonts w:ascii="Calibri" w:hAnsi="Calibri"/>
        <w:i/>
        <w:sz w:val="20"/>
        <w:szCs w:val="20"/>
      </w:rPr>
      <w:t xml:space="preserve">Hah, Clinical Pharmacist </w:t>
    </w:r>
  </w:p>
  <w:p w:rsidR="00474E43" w:rsidRDefault="00C2188E" w:rsidP="00474E43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Reviewed</w:t>
    </w:r>
    <w:r w:rsidR="00474E43" w:rsidRPr="00474E43">
      <w:rPr>
        <w:rFonts w:ascii="Calibri" w:hAnsi="Calibri"/>
        <w:i/>
        <w:sz w:val="20"/>
        <w:szCs w:val="20"/>
      </w:rPr>
      <w:t xml:space="preserve"> by: </w:t>
    </w:r>
    <w:proofErr w:type="spellStart"/>
    <w:r w:rsidR="00FA0CA9">
      <w:rPr>
        <w:rFonts w:ascii="Calibri" w:hAnsi="Calibri"/>
        <w:i/>
        <w:sz w:val="20"/>
        <w:szCs w:val="20"/>
      </w:rPr>
      <w:t>Dr</w:t>
    </w:r>
    <w:proofErr w:type="spellEnd"/>
    <w:r w:rsidR="00FA0CA9">
      <w:rPr>
        <w:rFonts w:ascii="Calibri" w:hAnsi="Calibri"/>
        <w:i/>
        <w:sz w:val="20"/>
        <w:szCs w:val="20"/>
      </w:rPr>
      <w:t xml:space="preserve"> Ryan Ro</w:t>
    </w:r>
    <w:r>
      <w:rPr>
        <w:rFonts w:ascii="Calibri" w:hAnsi="Calibri"/>
        <w:i/>
        <w:sz w:val="20"/>
        <w:szCs w:val="20"/>
      </w:rPr>
      <w:t xml:space="preserve">dgers, Consultant Haematologist; </w:t>
    </w:r>
    <w:proofErr w:type="spellStart"/>
    <w:r>
      <w:rPr>
        <w:rFonts w:ascii="Calibri" w:hAnsi="Calibri"/>
        <w:i/>
        <w:sz w:val="20"/>
        <w:szCs w:val="20"/>
      </w:rPr>
      <w:t>Dr</w:t>
    </w:r>
    <w:proofErr w:type="spellEnd"/>
    <w:r>
      <w:rPr>
        <w:rFonts w:ascii="Calibri" w:hAnsi="Calibri"/>
        <w:i/>
        <w:sz w:val="20"/>
        <w:szCs w:val="20"/>
      </w:rPr>
      <w:t xml:space="preserve"> John Neary, Consultant Nephrologist</w:t>
    </w:r>
  </w:p>
  <w:p w:rsidR="00B54A35" w:rsidRPr="00474E43" w:rsidRDefault="00B54A35" w:rsidP="00474E43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Date written: October 2018</w:t>
    </w:r>
    <w:r w:rsidR="00996A7E">
      <w:rPr>
        <w:rFonts w:ascii="Calibri" w:hAnsi="Calibri"/>
        <w:i/>
        <w:sz w:val="20"/>
        <w:szCs w:val="20"/>
      </w:rPr>
      <w:t xml:space="preserve"> (revised Mar</w:t>
    </w:r>
    <w:r w:rsidR="00165EA4">
      <w:rPr>
        <w:rFonts w:ascii="Calibri" w:hAnsi="Calibri"/>
        <w:i/>
        <w:sz w:val="20"/>
        <w:szCs w:val="20"/>
      </w:rPr>
      <w:t xml:space="preserve"> 2019)</w:t>
    </w:r>
  </w:p>
  <w:p w:rsidR="00474E43" w:rsidRPr="00474E43" w:rsidRDefault="00474E43" w:rsidP="00474E43">
    <w:pPr>
      <w:pStyle w:val="Footer"/>
      <w:jc w:val="right"/>
      <w:rPr>
        <w:rFonts w:ascii="Calibri" w:hAnsi="Calibri"/>
        <w:i/>
        <w:sz w:val="20"/>
        <w:szCs w:val="20"/>
      </w:rPr>
    </w:pPr>
    <w:r w:rsidRPr="00474E43">
      <w:rPr>
        <w:rFonts w:ascii="Calibri" w:hAnsi="Calibri"/>
        <w:i/>
        <w:sz w:val="20"/>
        <w:szCs w:val="20"/>
      </w:rPr>
      <w:t xml:space="preserve">Review date: </w:t>
    </w:r>
    <w:r w:rsidR="0004372B">
      <w:rPr>
        <w:rFonts w:ascii="Calibri" w:hAnsi="Calibri"/>
        <w:i/>
        <w:sz w:val="20"/>
        <w:szCs w:val="20"/>
      </w:rPr>
      <w:t xml:space="preserve">October </w:t>
    </w:r>
    <w:r w:rsidRPr="00474E43">
      <w:rPr>
        <w:rFonts w:ascii="Calibri" w:hAnsi="Calibri"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BE" w:rsidRDefault="007D66BE" w:rsidP="00474E43">
      <w:r>
        <w:separator/>
      </w:r>
    </w:p>
  </w:footnote>
  <w:footnote w:type="continuationSeparator" w:id="0">
    <w:p w:rsidR="007D66BE" w:rsidRDefault="007D66BE" w:rsidP="0047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75D"/>
    <w:multiLevelType w:val="hybridMultilevel"/>
    <w:tmpl w:val="54C0A0DC"/>
    <w:lvl w:ilvl="0" w:tplc="9B2EB0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734E"/>
    <w:multiLevelType w:val="hybridMultilevel"/>
    <w:tmpl w:val="B436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3C41"/>
    <w:multiLevelType w:val="hybridMultilevel"/>
    <w:tmpl w:val="7844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75E1"/>
    <w:multiLevelType w:val="hybridMultilevel"/>
    <w:tmpl w:val="751E8284"/>
    <w:lvl w:ilvl="0" w:tplc="2D3A514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14616"/>
    <w:multiLevelType w:val="hybridMultilevel"/>
    <w:tmpl w:val="4E72C376"/>
    <w:lvl w:ilvl="0" w:tplc="45622C7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2B"/>
    <w:rsid w:val="00010151"/>
    <w:rsid w:val="0004372B"/>
    <w:rsid w:val="00055BB6"/>
    <w:rsid w:val="00073900"/>
    <w:rsid w:val="0009289E"/>
    <w:rsid w:val="000E3FCC"/>
    <w:rsid w:val="000E7E37"/>
    <w:rsid w:val="000F0092"/>
    <w:rsid w:val="00165EA4"/>
    <w:rsid w:val="0017132F"/>
    <w:rsid w:val="001821A3"/>
    <w:rsid w:val="00245300"/>
    <w:rsid w:val="00270E29"/>
    <w:rsid w:val="002B2C9C"/>
    <w:rsid w:val="002E61B3"/>
    <w:rsid w:val="003604A8"/>
    <w:rsid w:val="003913F3"/>
    <w:rsid w:val="003D3B6A"/>
    <w:rsid w:val="00474E43"/>
    <w:rsid w:val="00497BFC"/>
    <w:rsid w:val="004B6999"/>
    <w:rsid w:val="005226E8"/>
    <w:rsid w:val="00527486"/>
    <w:rsid w:val="005F6B03"/>
    <w:rsid w:val="00632961"/>
    <w:rsid w:val="00636FCE"/>
    <w:rsid w:val="00643578"/>
    <w:rsid w:val="006C31BF"/>
    <w:rsid w:val="006C5AAD"/>
    <w:rsid w:val="00724F57"/>
    <w:rsid w:val="007502A6"/>
    <w:rsid w:val="007960FA"/>
    <w:rsid w:val="007A0A54"/>
    <w:rsid w:val="007D66BE"/>
    <w:rsid w:val="00833783"/>
    <w:rsid w:val="008459D3"/>
    <w:rsid w:val="00935CAD"/>
    <w:rsid w:val="00996A7E"/>
    <w:rsid w:val="009D0918"/>
    <w:rsid w:val="00B54A35"/>
    <w:rsid w:val="00BD165C"/>
    <w:rsid w:val="00BE3388"/>
    <w:rsid w:val="00C2188E"/>
    <w:rsid w:val="00CB28D6"/>
    <w:rsid w:val="00DB1481"/>
    <w:rsid w:val="00DE6180"/>
    <w:rsid w:val="00E113BA"/>
    <w:rsid w:val="00F01DF3"/>
    <w:rsid w:val="00F90970"/>
    <w:rsid w:val="00F96F69"/>
    <w:rsid w:val="00FA0CA9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DCE6D"/>
  <w15:docId w15:val="{61C13018-34C8-4A30-BE83-6C5D79A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FA"/>
    <w:pPr>
      <w:ind w:left="720"/>
      <w:contextualSpacing/>
    </w:pPr>
  </w:style>
  <w:style w:type="table" w:styleId="TableGrid">
    <w:name w:val="Table Grid"/>
    <w:basedOn w:val="TableNormal"/>
    <w:uiPriority w:val="59"/>
    <w:rsid w:val="0063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E43"/>
  </w:style>
  <w:style w:type="paragraph" w:styleId="Footer">
    <w:name w:val="footer"/>
    <w:basedOn w:val="Normal"/>
    <w:link w:val="FooterChar"/>
    <w:uiPriority w:val="99"/>
    <w:unhideWhenUsed/>
    <w:rsid w:val="00474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E43"/>
  </w:style>
  <w:style w:type="character" w:styleId="CommentReference">
    <w:name w:val="annotation reference"/>
    <w:basedOn w:val="DefaultParagraphFont"/>
    <w:uiPriority w:val="99"/>
    <w:semiHidden/>
    <w:unhideWhenUsed/>
    <w:rsid w:val="00DB1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C192-47BB-4CD5-AB18-75D0B04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Hah</dc:creator>
  <cp:lastModifiedBy>Hah, Jin Werne</cp:lastModifiedBy>
  <cp:revision>2</cp:revision>
  <cp:lastPrinted>2018-11-05T16:10:00Z</cp:lastPrinted>
  <dcterms:created xsi:type="dcterms:W3CDTF">2019-05-17T08:33:00Z</dcterms:created>
  <dcterms:modified xsi:type="dcterms:W3CDTF">2019-05-17T08:33:00Z</dcterms:modified>
</cp:coreProperties>
</file>