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0" w:rsidRPr="002B7DFF" w:rsidRDefault="00285600" w:rsidP="002B7DFF">
      <w:pPr>
        <w:ind w:left="-142"/>
        <w:rPr>
          <w:rFonts w:asciiTheme="majorHAnsi" w:hAnsiTheme="majorHAnsi"/>
          <w:b/>
          <w:sz w:val="32"/>
          <w:szCs w:val="32"/>
        </w:rPr>
      </w:pPr>
      <w:r w:rsidRPr="002B7DFF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641350" cy="6413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DFF">
        <w:rPr>
          <w:rFonts w:asciiTheme="majorHAnsi" w:hAnsiTheme="majorHAnsi"/>
          <w:b/>
          <w:sz w:val="32"/>
          <w:szCs w:val="32"/>
        </w:rPr>
        <w:t>Venous Thromboembolism (VTE) Prophylaxis in the Renal Unit</w:t>
      </w:r>
    </w:p>
    <w:p w:rsidR="00C837E9" w:rsidRPr="002B7DFF" w:rsidRDefault="00C837E9" w:rsidP="00C837E9">
      <w:pPr>
        <w:ind w:left="-142"/>
        <w:rPr>
          <w:rFonts w:asciiTheme="majorHAnsi" w:hAnsiTheme="majorHAnsi"/>
          <w:i/>
        </w:rPr>
      </w:pPr>
      <w:r w:rsidRPr="002B7DFF">
        <w:rPr>
          <w:rFonts w:asciiTheme="majorHAnsi" w:hAnsiTheme="majorHAnsi"/>
          <w:i/>
        </w:rPr>
        <w:t>Royal Infirmary of Edinburgh</w:t>
      </w:r>
    </w:p>
    <w:p w:rsidR="006C5AAD" w:rsidRPr="009937D6" w:rsidRDefault="006C5AAD">
      <w:pPr>
        <w:rPr>
          <w:sz w:val="18"/>
          <w:szCs w:val="18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3794"/>
        <w:gridCol w:w="6379"/>
      </w:tblGrid>
      <w:tr w:rsidR="00C837E9" w:rsidTr="00F15D23">
        <w:trPr>
          <w:trHeight w:val="4489"/>
        </w:trPr>
        <w:tc>
          <w:tcPr>
            <w:tcW w:w="10173" w:type="dxa"/>
            <w:gridSpan w:val="2"/>
            <w:tcBorders>
              <w:bottom w:val="single" w:sz="18" w:space="0" w:color="auto"/>
            </w:tcBorders>
          </w:tcPr>
          <w:p w:rsidR="00C837E9" w:rsidRPr="002B7DFF" w:rsidRDefault="002B7DFF" w:rsidP="00C837E9">
            <w:pPr>
              <w:rPr>
                <w:rFonts w:ascii="Calibri" w:hAnsi="Calibri"/>
                <w:b/>
              </w:rPr>
            </w:pPr>
            <w:r w:rsidRPr="002B7DFF">
              <w:rPr>
                <w:rFonts w:ascii="Calibri" w:hAnsi="Calibri"/>
                <w:b/>
              </w:rPr>
              <w:t>The following factors can increase the risk of VTE:</w:t>
            </w:r>
          </w:p>
          <w:p w:rsidR="002B7DFF" w:rsidRPr="002B7DFF" w:rsidRDefault="002B7DFF" w:rsidP="00C837E9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71"/>
              <w:gridCol w:w="3544"/>
              <w:gridCol w:w="3224"/>
            </w:tblGrid>
            <w:tr w:rsidR="002B7DFF" w:rsidRPr="002907EB" w:rsidTr="002B7DFF">
              <w:tc>
                <w:tcPr>
                  <w:tcW w:w="2871" w:type="dxa"/>
                </w:tcPr>
                <w:p w:rsidR="002B7DFF" w:rsidRPr="002B7DFF" w:rsidRDefault="0010046E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Lucida Grande"/>
                      <w:sz w:val="22"/>
                      <w:szCs w:val="22"/>
                    </w:rPr>
                    <w:t>Age &gt;60 year</w:t>
                  </w:r>
                  <w:r w:rsidR="002B7DFF" w:rsidRPr="002B7DFF">
                    <w:rPr>
                      <w:rFonts w:asciiTheme="majorHAnsi" w:hAnsiTheme="majorHAnsi" w:cs="Lucida Grande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544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Recent surgical procedure</w:t>
                  </w:r>
                </w:p>
              </w:tc>
              <w:tc>
                <w:tcPr>
                  <w:tcW w:w="3224" w:type="dxa"/>
                </w:tcPr>
                <w:p w:rsidR="002B7DFF" w:rsidRPr="002B7DFF" w:rsidRDefault="00F15D23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Menlo Regular"/>
                      <w:sz w:val="22"/>
                      <w:szCs w:val="22"/>
                    </w:rPr>
                    <w:t>COPD</w:t>
                  </w:r>
                </w:p>
              </w:tc>
            </w:tr>
            <w:tr w:rsidR="00F15D23" w:rsidRPr="002907EB" w:rsidTr="002B7DFF">
              <w:tc>
                <w:tcPr>
                  <w:tcW w:w="2871" w:type="dxa"/>
                </w:tcPr>
                <w:p w:rsidR="00F15D23" w:rsidRPr="002B7DFF" w:rsidRDefault="00F15D23" w:rsidP="00F15D23">
                  <w:pPr>
                    <w:pStyle w:val="ListParagraph"/>
                    <w:numPr>
                      <w:ilvl w:val="0"/>
                      <w:numId w:val="5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Critical care admission</w:t>
                  </w:r>
                </w:p>
              </w:tc>
              <w:tc>
                <w:tcPr>
                  <w:tcW w:w="3544" w:type="dxa"/>
                </w:tcPr>
                <w:p w:rsidR="00F15D23" w:rsidRPr="002B7DFF" w:rsidRDefault="00F15D23" w:rsidP="00F15D23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Heart failure</w:t>
                  </w:r>
                </w:p>
              </w:tc>
              <w:tc>
                <w:tcPr>
                  <w:tcW w:w="3224" w:type="dxa"/>
                </w:tcPr>
                <w:p w:rsidR="00F15D23" w:rsidRPr="002B7DFF" w:rsidRDefault="00F15D23" w:rsidP="00F15D23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Thrombophilia</w:t>
                  </w:r>
                </w:p>
              </w:tc>
            </w:tr>
            <w:tr w:rsidR="002B7DFF" w:rsidRPr="002907EB" w:rsidTr="002B7DFF">
              <w:tc>
                <w:tcPr>
                  <w:tcW w:w="2871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Dehydration</w:t>
                  </w:r>
                </w:p>
              </w:tc>
              <w:tc>
                <w:tcPr>
                  <w:tcW w:w="3544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/>
                      <w:sz w:val="22"/>
                      <w:szCs w:val="22"/>
                    </w:rPr>
                    <w:t>Diabetes</w:t>
                  </w:r>
                </w:p>
              </w:tc>
              <w:tc>
                <w:tcPr>
                  <w:tcW w:w="3224" w:type="dxa"/>
                </w:tcPr>
                <w:p w:rsidR="002B7DFF" w:rsidRPr="002B7DFF" w:rsidRDefault="00F15D23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Sickle cell disease</w:t>
                  </w:r>
                </w:p>
              </w:tc>
            </w:tr>
            <w:tr w:rsidR="002B7DFF" w:rsidRPr="002907EB" w:rsidTr="002B7DFF">
              <w:tc>
                <w:tcPr>
                  <w:tcW w:w="2871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/>
                      <w:sz w:val="22"/>
                      <w:szCs w:val="22"/>
                    </w:rPr>
                    <w:t>Nephrotic syndrome</w:t>
                  </w:r>
                </w:p>
              </w:tc>
              <w:tc>
                <w:tcPr>
                  <w:tcW w:w="3544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/>
                      <w:sz w:val="22"/>
                      <w:szCs w:val="22"/>
                    </w:rPr>
                    <w:t xml:space="preserve">BMI </w:t>
                  </w:r>
                  <w:r w:rsidRPr="002B7DFF">
                    <w:rPr>
                      <w:rFonts w:ascii="Calibri" w:hAnsi="Calibri"/>
                      <w:sz w:val="22"/>
                      <w:szCs w:val="22"/>
                    </w:rPr>
                    <w:t>≥</w:t>
                  </w:r>
                  <w:r w:rsidRPr="002B7DFF">
                    <w:rPr>
                      <w:rFonts w:asciiTheme="majorHAnsi" w:hAnsiTheme="majorHAnsi"/>
                      <w:sz w:val="22"/>
                      <w:szCs w:val="22"/>
                    </w:rPr>
                    <w:t xml:space="preserve"> 40</w:t>
                  </w:r>
                </w:p>
              </w:tc>
              <w:tc>
                <w:tcPr>
                  <w:tcW w:w="3224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COC/HRT or tamoxifen</w:t>
                  </w:r>
                </w:p>
              </w:tc>
            </w:tr>
            <w:tr w:rsidR="002B7DFF" w:rsidRPr="002907EB" w:rsidTr="002B7DFF">
              <w:tc>
                <w:tcPr>
                  <w:tcW w:w="2871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Acute infection</w:t>
                  </w:r>
                </w:p>
              </w:tc>
              <w:tc>
                <w:tcPr>
                  <w:tcW w:w="3544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Myeloproliferative disorder</w:t>
                  </w:r>
                </w:p>
              </w:tc>
              <w:tc>
                <w:tcPr>
                  <w:tcW w:w="3224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Varicose veins</w:t>
                  </w:r>
                </w:p>
              </w:tc>
            </w:tr>
            <w:tr w:rsidR="00F15D23" w:rsidRPr="002907EB" w:rsidTr="002B7DFF">
              <w:tc>
                <w:tcPr>
                  <w:tcW w:w="2871" w:type="dxa"/>
                </w:tcPr>
                <w:p w:rsidR="00F15D23" w:rsidRPr="002B7DFF" w:rsidRDefault="00F15D23" w:rsidP="00F15D23">
                  <w:pPr>
                    <w:pStyle w:val="ListParagraph"/>
                    <w:numPr>
                      <w:ilvl w:val="0"/>
                      <w:numId w:val="5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/>
                      <w:sz w:val="22"/>
                      <w:szCs w:val="22"/>
                    </w:rPr>
                    <w:t>Immobility due to hospital admission</w:t>
                  </w:r>
                </w:p>
              </w:tc>
              <w:tc>
                <w:tcPr>
                  <w:tcW w:w="3544" w:type="dxa"/>
                </w:tcPr>
                <w:p w:rsidR="00F15D23" w:rsidRPr="002B7DFF" w:rsidRDefault="00F15D23" w:rsidP="00F15D23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Lucida Grande"/>
                      <w:sz w:val="22"/>
                      <w:szCs w:val="22"/>
                    </w:rPr>
                    <w:t>Active cancer or chemotherapy</w:t>
                  </w:r>
                </w:p>
              </w:tc>
              <w:tc>
                <w:tcPr>
                  <w:tcW w:w="3224" w:type="dxa"/>
                </w:tcPr>
                <w:p w:rsidR="00F15D23" w:rsidRPr="002B7DFF" w:rsidRDefault="00F15D23" w:rsidP="00F15D23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Inflammatory bowel disease</w:t>
                  </w:r>
                </w:p>
              </w:tc>
            </w:tr>
            <w:tr w:rsidR="002B7DFF" w:rsidRPr="002907EB" w:rsidTr="002B7DFF">
              <w:tc>
                <w:tcPr>
                  <w:tcW w:w="2871" w:type="dxa"/>
                </w:tcPr>
                <w:p w:rsidR="002B7DFF" w:rsidRPr="002B7DFF" w:rsidRDefault="00F15D23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454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Personal/family history of VTE</w:t>
                  </w:r>
                </w:p>
              </w:tc>
              <w:tc>
                <w:tcPr>
                  <w:tcW w:w="3544" w:type="dxa"/>
                </w:tcPr>
                <w:p w:rsidR="002B7DFF" w:rsidRPr="002B7DFF" w:rsidRDefault="00F15D23" w:rsidP="00F15D23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Menlo Regular"/>
                      <w:sz w:val="22"/>
                      <w:szCs w:val="22"/>
                    </w:rPr>
                    <w:t>Recent cardiac event</w:t>
                  </w: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 xml:space="preserve"> or stroke</w:t>
                  </w:r>
                </w:p>
              </w:tc>
              <w:tc>
                <w:tcPr>
                  <w:tcW w:w="3224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5"/>
                    </w:numPr>
                    <w:ind w:left="560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Menlo Regular"/>
                      <w:sz w:val="22"/>
                      <w:szCs w:val="22"/>
                    </w:rPr>
                    <w:t>Pregnancy or &lt;6</w:t>
                  </w: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 xml:space="preserve"> w</w:t>
                  </w:r>
                  <w:r>
                    <w:rPr>
                      <w:rFonts w:asciiTheme="majorHAnsi" w:hAnsiTheme="majorHAnsi" w:cs="Menlo Regular"/>
                      <w:sz w:val="22"/>
                      <w:szCs w:val="22"/>
                    </w:rPr>
                    <w:t>ee</w:t>
                  </w: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ks postpartum</w:t>
                  </w:r>
                </w:p>
              </w:tc>
            </w:tr>
          </w:tbl>
          <w:p w:rsidR="005C4701" w:rsidRPr="009441F9" w:rsidRDefault="005C4701" w:rsidP="00C837E9">
            <w:pPr>
              <w:rPr>
                <w:rFonts w:ascii="Calibri" w:hAnsi="Calibri"/>
                <w:sz w:val="12"/>
                <w:szCs w:val="12"/>
              </w:rPr>
            </w:pPr>
          </w:p>
          <w:p w:rsidR="002B7DFF" w:rsidRPr="009441F9" w:rsidRDefault="002B7DFF" w:rsidP="002B7DFF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B7DFF" w:rsidRPr="002B7DFF" w:rsidRDefault="002B7DFF" w:rsidP="002B7DFF">
            <w:pPr>
              <w:rPr>
                <w:rFonts w:ascii="Calibri" w:hAnsi="Calibri"/>
                <w:b/>
              </w:rPr>
            </w:pPr>
            <w:r w:rsidRPr="002B7DFF">
              <w:rPr>
                <w:rFonts w:ascii="Calibri" w:hAnsi="Calibri"/>
                <w:b/>
              </w:rPr>
              <w:t xml:space="preserve">If </w:t>
            </w:r>
            <w:r w:rsidRPr="002B7DFF">
              <w:rPr>
                <w:rFonts w:ascii="Calibri" w:hAnsi="Calibri"/>
                <w:b/>
                <w:u w:val="single"/>
              </w:rPr>
              <w:t>low risk</w:t>
            </w:r>
            <w:r w:rsidRPr="002B7DFF">
              <w:rPr>
                <w:rFonts w:ascii="Calibri" w:hAnsi="Calibri"/>
                <w:b/>
              </w:rPr>
              <w:t xml:space="preserve">, encourage mobility or consider mechanical thromboprophylaxis (TED stocking, Flotrons). </w:t>
            </w:r>
          </w:p>
          <w:p w:rsidR="00C837E9" w:rsidRPr="002B7DFF" w:rsidRDefault="002B7DFF" w:rsidP="00C837E9">
            <w:pPr>
              <w:rPr>
                <w:rFonts w:ascii="Calibri" w:hAnsi="Calibri"/>
                <w:b/>
              </w:rPr>
            </w:pPr>
            <w:r w:rsidRPr="002B7DFF">
              <w:rPr>
                <w:rFonts w:ascii="Calibri" w:hAnsi="Calibri"/>
                <w:b/>
              </w:rPr>
              <w:t xml:space="preserve">Thrombosis risk should be balanced with the risk of bleeding. </w:t>
            </w:r>
            <w:r w:rsidR="00F15D23">
              <w:rPr>
                <w:rFonts w:ascii="Calibri" w:hAnsi="Calibri"/>
                <w:b/>
              </w:rPr>
              <w:t xml:space="preserve">Consult specialist registrar or consultant to assist with assessment if required. </w:t>
            </w:r>
            <w:r w:rsidRPr="002B7DFF">
              <w:rPr>
                <w:rFonts w:ascii="Calibri" w:hAnsi="Calibri"/>
                <w:b/>
              </w:rPr>
              <w:t>The following factors may increase the risk of bleeding:</w:t>
            </w:r>
          </w:p>
          <w:p w:rsidR="002B7DFF" w:rsidRPr="002B7DFF" w:rsidRDefault="002B7DFF" w:rsidP="00C837E9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02"/>
              <w:gridCol w:w="2795"/>
              <w:gridCol w:w="3737"/>
            </w:tblGrid>
            <w:tr w:rsidR="002B7DFF" w:rsidRPr="002B7DFF" w:rsidTr="002B7DFF">
              <w:tc>
                <w:tcPr>
                  <w:tcW w:w="3102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/>
                      <w:sz w:val="22"/>
                      <w:szCs w:val="22"/>
                    </w:rPr>
                    <w:t>Severe renal disease</w:t>
                  </w:r>
                </w:p>
              </w:tc>
              <w:tc>
                <w:tcPr>
                  <w:tcW w:w="2795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329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Planned procedure within 6 hours</w:t>
                  </w:r>
                </w:p>
              </w:tc>
              <w:tc>
                <w:tcPr>
                  <w:tcW w:w="3737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1078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Active bacterial endocarditis</w:t>
                  </w:r>
                </w:p>
              </w:tc>
            </w:tr>
            <w:tr w:rsidR="002B7DFF" w:rsidRPr="002B7DFF" w:rsidTr="002B7DFF">
              <w:tc>
                <w:tcPr>
                  <w:tcW w:w="3102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45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Platelets &lt;70 x 10</w:t>
                  </w: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  <w:vertAlign w:val="superscript"/>
                    </w:rPr>
                    <w:t>9</w:t>
                  </w: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/l</w:t>
                  </w:r>
                </w:p>
              </w:tc>
              <w:tc>
                <w:tcPr>
                  <w:tcW w:w="2795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329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Post-surgery or biopsy</w:t>
                  </w:r>
                </w:p>
              </w:tc>
              <w:tc>
                <w:tcPr>
                  <w:tcW w:w="3737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1078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Severe hepatic disease</w:t>
                  </w:r>
                </w:p>
              </w:tc>
            </w:tr>
            <w:tr w:rsidR="002B7DFF" w:rsidRPr="002B7DFF" w:rsidTr="002B7DFF">
              <w:tc>
                <w:tcPr>
                  <w:tcW w:w="3102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454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Recent bleeding episode</w:t>
                  </w:r>
                </w:p>
              </w:tc>
              <w:tc>
                <w:tcPr>
                  <w:tcW w:w="2795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329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Major trauma</w:t>
                  </w:r>
                </w:p>
              </w:tc>
              <w:tc>
                <w:tcPr>
                  <w:tcW w:w="3737" w:type="dxa"/>
                </w:tcPr>
                <w:p w:rsidR="002B7DFF" w:rsidRPr="002B7DFF" w:rsidRDefault="002B7DFF" w:rsidP="002B7DFF">
                  <w:pPr>
                    <w:pStyle w:val="ListParagraph"/>
                    <w:numPr>
                      <w:ilvl w:val="0"/>
                      <w:numId w:val="6"/>
                    </w:numPr>
                    <w:ind w:left="1083"/>
                    <w:rPr>
                      <w:rFonts w:asciiTheme="majorHAnsi" w:hAnsiTheme="majorHAnsi" w:cs="Menlo Regular"/>
                      <w:sz w:val="22"/>
                      <w:szCs w:val="22"/>
                    </w:rPr>
                  </w:pPr>
                  <w:r w:rsidRPr="002B7DFF">
                    <w:rPr>
                      <w:rFonts w:asciiTheme="majorHAnsi" w:hAnsiTheme="majorHAnsi" w:cs="Menlo Regular"/>
                      <w:sz w:val="22"/>
                      <w:szCs w:val="22"/>
                    </w:rPr>
                    <w:t>Low dry weight (&lt;46kg)</w:t>
                  </w:r>
                </w:p>
              </w:tc>
            </w:tr>
          </w:tbl>
          <w:p w:rsidR="00C837E9" w:rsidRPr="009441F9" w:rsidRDefault="00C837E9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2B7DFF" w:rsidRPr="009441F9" w:rsidRDefault="002B7DFF" w:rsidP="002B7DFF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B7DFF" w:rsidRDefault="002B7DFF" w:rsidP="002B7DFF">
            <w:pPr>
              <w:rPr>
                <w:rFonts w:ascii="Calibri" w:hAnsi="Calibri"/>
                <w:b/>
              </w:rPr>
            </w:pPr>
            <w:r w:rsidRPr="002B7DFF">
              <w:rPr>
                <w:rFonts w:ascii="Calibri" w:hAnsi="Calibri"/>
                <w:b/>
              </w:rPr>
              <w:t xml:space="preserve">If pharmacological </w:t>
            </w:r>
            <w:r w:rsidR="0010046E">
              <w:rPr>
                <w:rFonts w:ascii="Calibri" w:hAnsi="Calibri"/>
                <w:b/>
              </w:rPr>
              <w:t>thrombo</w:t>
            </w:r>
            <w:r w:rsidRPr="002B7DFF">
              <w:rPr>
                <w:rFonts w:ascii="Calibri" w:hAnsi="Calibri"/>
                <w:b/>
              </w:rPr>
              <w:t>prophylaxis indicated, assess renal function and consider the following:</w:t>
            </w:r>
          </w:p>
          <w:p w:rsidR="002B7DFF" w:rsidRPr="002B7DFF" w:rsidRDefault="002B7DFF" w:rsidP="002B7DFF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C837E9" w:rsidTr="00F15D23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7E9" w:rsidRPr="00F15D23" w:rsidRDefault="00C837E9" w:rsidP="00C837E9">
            <w:pPr>
              <w:rPr>
                <w:rFonts w:ascii="Calibri" w:hAnsi="Calibri"/>
              </w:rPr>
            </w:pPr>
            <w:r w:rsidRPr="00F15D23">
              <w:rPr>
                <w:rFonts w:ascii="Calibri" w:hAnsi="Calibri"/>
              </w:rPr>
              <w:t>eGFR &gt; 30</w:t>
            </w:r>
            <w:r w:rsidR="00FA5203" w:rsidRPr="00F15D23">
              <w:rPr>
                <w:rFonts w:ascii="Calibri" w:hAnsi="Calibri"/>
              </w:rPr>
              <w:t xml:space="preserve"> ml/min/1.73m</w:t>
            </w:r>
            <w:r w:rsidR="00FA5203" w:rsidRPr="00F15D23">
              <w:rPr>
                <w:rFonts w:ascii="Calibri" w:hAnsi="Calibri"/>
                <w:vertAlign w:val="superscript"/>
              </w:rPr>
              <w:t>2</w:t>
            </w:r>
          </w:p>
          <w:p w:rsidR="00C837E9" w:rsidRPr="00F15D23" w:rsidRDefault="00C837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7E9" w:rsidRPr="00F15D23" w:rsidRDefault="007F70D2">
            <w:pPr>
              <w:rPr>
                <w:rFonts w:ascii="Calibri" w:hAnsi="Calibri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>SC d</w:t>
            </w:r>
            <w:r w:rsidR="00C837E9" w:rsidRPr="00F15D23">
              <w:rPr>
                <w:rFonts w:ascii="Calibri" w:eastAsiaTheme="minorEastAsia" w:hAnsi="Calibri" w:cs="SegoeUI"/>
                <w:color w:val="191919"/>
              </w:rPr>
              <w:t>alteparin 5000 units daily</w:t>
            </w:r>
          </w:p>
        </w:tc>
      </w:tr>
      <w:tr w:rsidR="00C837E9" w:rsidTr="00F15D23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203" w:rsidRPr="00F15D23" w:rsidRDefault="00C837E9">
            <w:pPr>
              <w:rPr>
                <w:rFonts w:ascii="Calibri" w:eastAsiaTheme="minorEastAsia" w:hAnsi="Calibri" w:cs="SegoeUI"/>
                <w:color w:val="191919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>eGFR</w:t>
            </w:r>
            <w:r w:rsidR="00CC1B1F" w:rsidRPr="00F15D23">
              <w:rPr>
                <w:rFonts w:ascii="Calibri" w:eastAsiaTheme="minorEastAsia" w:hAnsi="Calibri" w:cs="SegoeUI"/>
                <w:color w:val="191919"/>
              </w:rPr>
              <w:t xml:space="preserve"> </w:t>
            </w:r>
            <w:r w:rsidR="009E6A3F" w:rsidRPr="00F15D23">
              <w:rPr>
                <w:rFonts w:ascii="Calibri" w:eastAsiaTheme="minorEastAsia" w:hAnsi="Calibri" w:cs="SegoeUI"/>
                <w:color w:val="191919"/>
              </w:rPr>
              <w:t>10-30</w:t>
            </w:r>
            <w:r w:rsidR="00FA5203" w:rsidRPr="00F15D23">
              <w:rPr>
                <w:rFonts w:ascii="Calibri" w:hAnsi="Calibri"/>
              </w:rPr>
              <w:t xml:space="preserve"> ml/min/1.73m</w:t>
            </w:r>
            <w:r w:rsidR="00FA5203" w:rsidRPr="00F15D23">
              <w:rPr>
                <w:rFonts w:ascii="Calibri" w:hAnsi="Calibri"/>
                <w:vertAlign w:val="superscript"/>
              </w:rPr>
              <w:t>2</w:t>
            </w:r>
            <w:r w:rsidR="00FA5203" w:rsidRPr="00F15D23">
              <w:rPr>
                <w:rFonts w:ascii="Calibri" w:eastAsiaTheme="minorEastAsia" w:hAnsi="Calibri" w:cs="SegoeUI"/>
                <w:color w:val="191919"/>
              </w:rPr>
              <w:t xml:space="preserve"> </w:t>
            </w:r>
          </w:p>
          <w:p w:rsidR="009E6A3F" w:rsidRPr="00F15D23" w:rsidRDefault="009E6A3F" w:rsidP="009E6A3F">
            <w:pPr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7E9" w:rsidRPr="00F15D23" w:rsidRDefault="007F70D2" w:rsidP="00C837E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SegoeUI"/>
                <w:color w:val="191919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>SC d</w:t>
            </w:r>
            <w:r w:rsidR="00C837E9" w:rsidRPr="00F15D23">
              <w:rPr>
                <w:rFonts w:ascii="Calibri" w:eastAsiaTheme="minorEastAsia" w:hAnsi="Calibri" w:cs="SegoeUI"/>
                <w:color w:val="191919"/>
              </w:rPr>
              <w:t>alteparin 2500 units daily</w:t>
            </w:r>
          </w:p>
          <w:p w:rsidR="00C837E9" w:rsidRPr="00F15D23" w:rsidRDefault="00C837E9" w:rsidP="00C837E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SegoeUI"/>
                <w:color w:val="191919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 xml:space="preserve">If </w:t>
            </w:r>
            <w:r w:rsidR="009937D6" w:rsidRPr="00F15D23">
              <w:rPr>
                <w:rFonts w:ascii="Calibri" w:eastAsiaTheme="minorEastAsia" w:hAnsi="Calibri" w:cs="SegoeUI"/>
                <w:color w:val="191919"/>
              </w:rPr>
              <w:t xml:space="preserve">very </w:t>
            </w:r>
            <w:r w:rsidRPr="00F15D23">
              <w:rPr>
                <w:rFonts w:ascii="Calibri" w:eastAsiaTheme="minorEastAsia" w:hAnsi="Calibri" w:cs="SegoeUI"/>
                <w:color w:val="191919"/>
              </w:rPr>
              <w:t>high thrombotic risk</w:t>
            </w:r>
            <w:r w:rsidR="00F15D23" w:rsidRPr="00F15D23">
              <w:rPr>
                <w:rFonts w:ascii="Calibri" w:eastAsiaTheme="minorEastAsia" w:hAnsi="Calibri" w:cs="SegoeUI"/>
                <w:color w:val="191919"/>
              </w:rPr>
              <w:t>,</w:t>
            </w:r>
            <w:r w:rsidRPr="00F15D23">
              <w:rPr>
                <w:rFonts w:ascii="Calibri" w:eastAsiaTheme="minorEastAsia" w:hAnsi="Calibri" w:cs="SegoeUI"/>
                <w:color w:val="191919"/>
              </w:rPr>
              <w:t xml:space="preserve"> </w:t>
            </w:r>
            <w:r w:rsidR="00036272" w:rsidRPr="00F15D23">
              <w:rPr>
                <w:rFonts w:ascii="Calibri" w:eastAsiaTheme="minorEastAsia" w:hAnsi="Calibri" w:cs="SegoeUI"/>
                <w:color w:val="191919"/>
              </w:rPr>
              <w:t xml:space="preserve">consult </w:t>
            </w:r>
            <w:r w:rsidR="00F15D23" w:rsidRPr="00F15D23">
              <w:rPr>
                <w:rFonts w:ascii="Calibri" w:eastAsiaTheme="minorEastAsia" w:hAnsi="Calibri" w:cs="SegoeUI"/>
                <w:color w:val="191919"/>
              </w:rPr>
              <w:t xml:space="preserve">specialist </w:t>
            </w:r>
            <w:r w:rsidR="00036272" w:rsidRPr="00F15D23">
              <w:rPr>
                <w:rFonts w:ascii="Calibri" w:eastAsiaTheme="minorEastAsia" w:hAnsi="Calibri" w:cs="SegoeUI"/>
                <w:color w:val="191919"/>
              </w:rPr>
              <w:t>registrar or consultant – may consider 5000 units daily.</w:t>
            </w:r>
          </w:p>
          <w:p w:rsidR="00C837E9" w:rsidRPr="00F15D23" w:rsidRDefault="00C837E9" w:rsidP="00C837E9">
            <w:pPr>
              <w:rPr>
                <w:rFonts w:ascii="Calibri" w:eastAsiaTheme="minorEastAsia" w:hAnsi="Calibri" w:cs="SegoeUI"/>
                <w:color w:val="191919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>Monitor anti-factor Xa level after 10 days.</w:t>
            </w:r>
          </w:p>
          <w:p w:rsidR="00986716" w:rsidRPr="00F15D23" w:rsidRDefault="00986716" w:rsidP="00C837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37E9" w:rsidTr="00F15D23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3F" w:rsidRPr="00F15D23" w:rsidRDefault="009E6A3F" w:rsidP="00FA5203">
            <w:pPr>
              <w:rPr>
                <w:rFonts w:ascii="Calibri" w:hAnsi="Calibri"/>
              </w:rPr>
            </w:pPr>
            <w:r w:rsidRPr="00F15D23">
              <w:rPr>
                <w:rFonts w:ascii="Calibri" w:hAnsi="Calibri"/>
              </w:rPr>
              <w:t>eGFR &lt; 10 ml/min/1.73m</w:t>
            </w:r>
            <w:r w:rsidRPr="00F15D23">
              <w:rPr>
                <w:rFonts w:ascii="Calibri" w:hAnsi="Calibri"/>
                <w:vertAlign w:val="superscript"/>
              </w:rPr>
              <w:t>2</w:t>
            </w:r>
          </w:p>
          <w:p w:rsidR="00C837E9" w:rsidRPr="00F15D23" w:rsidRDefault="009E6A3F" w:rsidP="00FA5203">
            <w:pPr>
              <w:rPr>
                <w:rFonts w:ascii="Calibri" w:hAnsi="Calibri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>or patients on</w:t>
            </w:r>
            <w:r w:rsidR="00FA5203" w:rsidRPr="00F15D23">
              <w:rPr>
                <w:rFonts w:ascii="Calibri" w:eastAsiaTheme="minorEastAsia" w:hAnsi="Calibri" w:cs="SegoeUI"/>
                <w:color w:val="191919"/>
              </w:rPr>
              <w:t xml:space="preserve"> renal replacement therapy/c</w:t>
            </w:r>
            <w:r w:rsidR="00C837E9" w:rsidRPr="00F15D23">
              <w:rPr>
                <w:rFonts w:ascii="Calibri" w:eastAsiaTheme="minorEastAsia" w:hAnsi="Calibri" w:cs="SegoeUI"/>
                <w:color w:val="191919"/>
              </w:rPr>
              <w:t xml:space="preserve">onservative management 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7E9" w:rsidRPr="00F15D23" w:rsidRDefault="00C837E9" w:rsidP="00C837E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SegoeUI"/>
                <w:color w:val="191919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>No heparin for thromboprophylaxis unless high risk.</w:t>
            </w:r>
          </w:p>
          <w:p w:rsidR="00C837E9" w:rsidRPr="00F15D23" w:rsidRDefault="007F70D2" w:rsidP="00C837E9">
            <w:pPr>
              <w:rPr>
                <w:rFonts w:ascii="Calibri" w:eastAsiaTheme="minorEastAsia" w:hAnsi="Calibri" w:cs="SegoeUI"/>
                <w:color w:val="191919"/>
              </w:rPr>
            </w:pPr>
            <w:r w:rsidRPr="00F15D23">
              <w:rPr>
                <w:rFonts w:ascii="Calibri" w:eastAsiaTheme="minorEastAsia" w:hAnsi="Calibri" w:cs="SegoeUI"/>
                <w:color w:val="191919"/>
              </w:rPr>
              <w:t>If high risk use SC d</w:t>
            </w:r>
            <w:r w:rsidR="00C837E9" w:rsidRPr="00F15D23">
              <w:rPr>
                <w:rFonts w:ascii="Calibri" w:eastAsiaTheme="minorEastAsia" w:hAnsi="Calibri" w:cs="SegoeUI"/>
                <w:color w:val="191919"/>
              </w:rPr>
              <w:t>alteparin 2500 units daily. Monitor anti-factor Xa level after 10 days.</w:t>
            </w:r>
          </w:p>
          <w:p w:rsidR="00986716" w:rsidRPr="00F15D23" w:rsidRDefault="00986716" w:rsidP="00C837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5203" w:rsidTr="00F15D23">
        <w:tc>
          <w:tcPr>
            <w:tcW w:w="10173" w:type="dxa"/>
            <w:gridSpan w:val="2"/>
            <w:tcBorders>
              <w:top w:val="single" w:sz="18" w:space="0" w:color="auto"/>
            </w:tcBorders>
          </w:tcPr>
          <w:p w:rsidR="00FA5203" w:rsidRDefault="009E6A3F">
            <w:pPr>
              <w:rPr>
                <w:rFonts w:ascii="Calibri" w:eastAsiaTheme="minorEastAsia" w:hAnsi="Calibri" w:cs="SegoeUI"/>
                <w:i/>
                <w:color w:val="191919"/>
                <w:sz w:val="20"/>
                <w:szCs w:val="20"/>
              </w:rPr>
            </w:pPr>
            <w:r w:rsidRPr="00066267">
              <w:rPr>
                <w:rFonts w:ascii="Calibri" w:eastAsiaTheme="minorEastAsia" w:hAnsi="Calibri" w:cs="SegoeUI"/>
                <w:i/>
                <w:color w:val="191919"/>
                <w:sz w:val="20"/>
                <w:szCs w:val="20"/>
              </w:rPr>
              <w:t>*If weight &lt;46kg consider using CrCl instead of eGFR for estimation of renal function</w:t>
            </w:r>
          </w:p>
          <w:p w:rsidR="009937D6" w:rsidRPr="009441F9" w:rsidRDefault="009937D6">
            <w:pPr>
              <w:rPr>
                <w:rFonts w:ascii="Calibri" w:eastAsiaTheme="minorEastAsia" w:hAnsi="Calibri" w:cs="SegoeUI"/>
                <w:color w:val="191919"/>
                <w:sz w:val="12"/>
                <w:szCs w:val="12"/>
              </w:rPr>
            </w:pPr>
          </w:p>
          <w:p w:rsidR="004D63FD" w:rsidRDefault="009937D6">
            <w:pPr>
              <w:rPr>
                <w:rFonts w:ascii="Calibri" w:eastAsiaTheme="minorEastAsia" w:hAnsi="Calibri" w:cs="SegoeUI"/>
                <w:i/>
                <w:color w:val="191919"/>
              </w:rPr>
            </w:pPr>
            <w:r w:rsidRPr="002B7DFF">
              <w:rPr>
                <w:rFonts w:ascii="Calibri" w:eastAsiaTheme="minorEastAsia" w:hAnsi="Calibri" w:cs="SegoeUI"/>
                <w:b/>
                <w:color w:val="191919"/>
              </w:rPr>
              <w:t>Dose adjustment in extreme body weights</w:t>
            </w:r>
          </w:p>
          <w:p w:rsidR="009441F9" w:rsidRPr="009441F9" w:rsidRDefault="009441F9">
            <w:pPr>
              <w:rPr>
                <w:rFonts w:ascii="Calibri" w:eastAsiaTheme="minorEastAsia" w:hAnsi="Calibri" w:cs="SegoeUI"/>
                <w:i/>
                <w:color w:val="191919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279" w:type="dxa"/>
              <w:tblLayout w:type="fixed"/>
              <w:tblLook w:val="04A0"/>
            </w:tblPr>
            <w:tblGrid>
              <w:gridCol w:w="2126"/>
              <w:gridCol w:w="3243"/>
              <w:gridCol w:w="3721"/>
            </w:tblGrid>
            <w:tr w:rsidR="00377B3C" w:rsidRPr="002B7DFF" w:rsidTr="007F70D2">
              <w:tc>
                <w:tcPr>
                  <w:tcW w:w="2126" w:type="dxa"/>
                </w:tcPr>
                <w:p w:rsidR="00377B3C" w:rsidRPr="002B7DFF" w:rsidRDefault="00377B3C" w:rsidP="00377B3C">
                  <w:pPr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</w:pPr>
                </w:p>
              </w:tc>
              <w:tc>
                <w:tcPr>
                  <w:tcW w:w="3243" w:type="dxa"/>
                </w:tcPr>
                <w:p w:rsidR="00377B3C" w:rsidRPr="002B7DFF" w:rsidRDefault="00377B3C" w:rsidP="00377B3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B7DFF">
                    <w:rPr>
                      <w:rFonts w:ascii="Calibri" w:hAnsi="Calibri"/>
                      <w:b/>
                      <w:sz w:val="22"/>
                      <w:szCs w:val="22"/>
                    </w:rPr>
                    <w:t>eGFR &gt; 30 ml/min/1.73m</w:t>
                  </w:r>
                  <w:r w:rsidRPr="002B7DFF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3721" w:type="dxa"/>
                </w:tcPr>
                <w:p w:rsidR="00377B3C" w:rsidRPr="002B7DFF" w:rsidRDefault="00377B3C" w:rsidP="00377B3C">
                  <w:pPr>
                    <w:jc w:val="center"/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</w:pPr>
                  <w:r w:rsidRPr="002B7DFF">
                    <w:rPr>
                      <w:rFonts w:ascii="Calibri" w:hAnsi="Calibri"/>
                      <w:b/>
                      <w:sz w:val="22"/>
                      <w:szCs w:val="22"/>
                    </w:rPr>
                    <w:t>eGFR ≤ 30 ml/min/1.73m</w:t>
                  </w:r>
                  <w:r w:rsidRPr="002B7DFF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377B3C" w:rsidRPr="002B7DFF" w:rsidTr="007F70D2">
              <w:tc>
                <w:tcPr>
                  <w:tcW w:w="2126" w:type="dxa"/>
                </w:tcPr>
                <w:p w:rsidR="00377B3C" w:rsidRPr="002B7DFF" w:rsidRDefault="00377B3C" w:rsidP="00377B3C">
                  <w:pPr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</w:pPr>
                  <w:r w:rsidRPr="002B7DFF"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  <w:t>BMI ≥ 40</w:t>
                  </w:r>
                </w:p>
              </w:tc>
              <w:tc>
                <w:tcPr>
                  <w:tcW w:w="3243" w:type="dxa"/>
                </w:tcPr>
                <w:p w:rsidR="00377B3C" w:rsidRPr="002B7DFF" w:rsidRDefault="007F70D2" w:rsidP="007F70D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B7DFF">
                    <w:rPr>
                      <w:rFonts w:ascii="Calibri" w:eastAsiaTheme="minorEastAsia" w:hAnsi="Calibri" w:cs="SegoeUI"/>
                      <w:color w:val="191919"/>
                      <w:sz w:val="22"/>
                      <w:szCs w:val="22"/>
                    </w:rPr>
                    <w:t>SC d</w:t>
                  </w:r>
                  <w:r w:rsidR="00377B3C" w:rsidRPr="002B7DFF">
                    <w:rPr>
                      <w:rFonts w:ascii="Calibri" w:eastAsiaTheme="minorEastAsia" w:hAnsi="Calibri" w:cs="SegoeUI"/>
                      <w:color w:val="191919"/>
                      <w:sz w:val="22"/>
                      <w:szCs w:val="22"/>
                    </w:rPr>
                    <w:t>alteparin 7500 units daily</w:t>
                  </w:r>
                </w:p>
              </w:tc>
              <w:tc>
                <w:tcPr>
                  <w:tcW w:w="3721" w:type="dxa"/>
                </w:tcPr>
                <w:p w:rsidR="00377B3C" w:rsidRPr="002B7DFF" w:rsidRDefault="007F70D2" w:rsidP="007F70D2">
                  <w:pPr>
                    <w:jc w:val="center"/>
                    <w:rPr>
                      <w:rFonts w:ascii="Calibri" w:eastAsiaTheme="minorEastAsia" w:hAnsi="Calibri" w:cs="SegoeUI"/>
                      <w:color w:val="191919"/>
                      <w:sz w:val="22"/>
                      <w:szCs w:val="22"/>
                    </w:rPr>
                  </w:pPr>
                  <w:r w:rsidRPr="002B7DFF">
                    <w:rPr>
                      <w:rFonts w:ascii="Calibri" w:eastAsiaTheme="minorEastAsia" w:hAnsi="Calibri" w:cs="SegoeUI"/>
                      <w:color w:val="191919"/>
                      <w:sz w:val="22"/>
                      <w:szCs w:val="22"/>
                    </w:rPr>
                    <w:t>Max SC d</w:t>
                  </w:r>
                  <w:r w:rsidR="00377B3C" w:rsidRPr="002B7DFF">
                    <w:rPr>
                      <w:rFonts w:ascii="Calibri" w:eastAsiaTheme="minorEastAsia" w:hAnsi="Calibri" w:cs="SegoeUI"/>
                      <w:color w:val="191919"/>
                      <w:sz w:val="22"/>
                      <w:szCs w:val="22"/>
                    </w:rPr>
                    <w:t>alteparin 5000 units daily</w:t>
                  </w:r>
                </w:p>
              </w:tc>
            </w:tr>
            <w:tr w:rsidR="00377B3C" w:rsidRPr="002B7DFF" w:rsidTr="007F70D2">
              <w:tc>
                <w:tcPr>
                  <w:tcW w:w="2126" w:type="dxa"/>
                </w:tcPr>
                <w:p w:rsidR="00377B3C" w:rsidRPr="002B7DFF" w:rsidRDefault="00C07089" w:rsidP="00377B3C">
                  <w:pPr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</w:pPr>
                  <w:r w:rsidRPr="002B7DFF"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  <w:t>Body</w:t>
                  </w:r>
                  <w:r w:rsidR="00377B3C" w:rsidRPr="002B7DFF"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  <w:t xml:space="preserve"> weight &lt;46kg</w:t>
                  </w:r>
                </w:p>
              </w:tc>
              <w:tc>
                <w:tcPr>
                  <w:tcW w:w="3243" w:type="dxa"/>
                </w:tcPr>
                <w:p w:rsidR="00377B3C" w:rsidRPr="002B7DFF" w:rsidRDefault="007F70D2" w:rsidP="007F70D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B7DFF">
                    <w:rPr>
                      <w:rFonts w:ascii="Calibri" w:hAnsi="Calibri"/>
                      <w:sz w:val="22"/>
                      <w:szCs w:val="22"/>
                    </w:rPr>
                    <w:t>SC dalteparin 2500 units daily</w:t>
                  </w:r>
                </w:p>
              </w:tc>
              <w:tc>
                <w:tcPr>
                  <w:tcW w:w="3721" w:type="dxa"/>
                </w:tcPr>
                <w:p w:rsidR="00377B3C" w:rsidRPr="002B7DFF" w:rsidRDefault="007F70D2" w:rsidP="007F70D2">
                  <w:pPr>
                    <w:jc w:val="center"/>
                    <w:rPr>
                      <w:rFonts w:ascii="Calibri" w:eastAsiaTheme="minorEastAsia" w:hAnsi="Calibri" w:cs="SegoeUI"/>
                      <w:b/>
                      <w:color w:val="191919"/>
                      <w:sz w:val="22"/>
                      <w:szCs w:val="22"/>
                    </w:rPr>
                  </w:pPr>
                  <w:r w:rsidRPr="002B7DFF">
                    <w:rPr>
                      <w:rFonts w:ascii="Calibri" w:hAnsi="Calibri"/>
                      <w:sz w:val="22"/>
                      <w:szCs w:val="22"/>
                    </w:rPr>
                    <w:t>SC dalteparin 2500 units daily</w:t>
                  </w:r>
                </w:p>
              </w:tc>
            </w:tr>
          </w:tbl>
          <w:p w:rsidR="009937D6" w:rsidRPr="002B7DFF" w:rsidRDefault="00C07089" w:rsidP="00C07089">
            <w:pPr>
              <w:pStyle w:val="ListParagraph"/>
              <w:ind w:left="765"/>
              <w:rPr>
                <w:rFonts w:ascii="Calibri" w:eastAsiaTheme="minorEastAsia" w:hAnsi="Calibri" w:cs="SegoeUI"/>
                <w:i/>
                <w:color w:val="191919"/>
                <w:sz w:val="20"/>
                <w:szCs w:val="20"/>
              </w:rPr>
            </w:pPr>
            <w:r w:rsidRPr="002B7DFF">
              <w:rPr>
                <w:rFonts w:ascii="Calibri" w:eastAsiaTheme="minorEastAsia" w:hAnsi="Calibri" w:cs="SegoeUI"/>
                <w:i/>
                <w:color w:val="191919"/>
                <w:sz w:val="20"/>
                <w:szCs w:val="20"/>
              </w:rPr>
              <w:t>*Use dry weight</w:t>
            </w:r>
          </w:p>
          <w:p w:rsidR="002B7DFF" w:rsidRPr="002B7DFF" w:rsidRDefault="002B7DFF">
            <w:pPr>
              <w:rPr>
                <w:rFonts w:ascii="Calibri" w:eastAsiaTheme="minorEastAsia" w:hAnsi="Calibri" w:cs="SegoeUI"/>
                <w:b/>
                <w:color w:val="191919"/>
                <w:sz w:val="16"/>
                <w:szCs w:val="16"/>
              </w:rPr>
            </w:pPr>
          </w:p>
          <w:p w:rsidR="00047F08" w:rsidRPr="009441F9" w:rsidRDefault="009E6A3F">
            <w:pPr>
              <w:rPr>
                <w:rFonts w:ascii="Calibri" w:eastAsiaTheme="minorEastAsia" w:hAnsi="Calibri" w:cs="SegoeUI"/>
                <w:b/>
                <w:color w:val="191919"/>
              </w:rPr>
            </w:pPr>
            <w:r w:rsidRPr="002B7DFF">
              <w:rPr>
                <w:rFonts w:ascii="Calibri" w:eastAsiaTheme="minorEastAsia" w:hAnsi="Calibri" w:cs="SegoeUI"/>
                <w:b/>
                <w:color w:val="191919"/>
              </w:rPr>
              <w:t>Guidance on anti-factor Xa monitoring</w:t>
            </w:r>
          </w:p>
          <w:p w:rsidR="009E6A3F" w:rsidRPr="002B7DFF" w:rsidRDefault="009E6A3F" w:rsidP="009E6A3F">
            <w:pPr>
              <w:pStyle w:val="ListParagraph"/>
              <w:numPr>
                <w:ilvl w:val="0"/>
                <w:numId w:val="2"/>
              </w:numP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Target </w:t>
            </w:r>
            <w:r w:rsidR="00C706B7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peak </w:t>
            </w:r>
            <w:r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range is 0.1-</w:t>
            </w:r>
            <w:r w:rsidR="005C4701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0.4 units/ml</w:t>
            </w:r>
            <w:r w:rsidR="00A27E5F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 Please consult registrar or consultant if level recorded is not within target range</w:t>
            </w:r>
          </w:p>
          <w:p w:rsidR="00066267" w:rsidRPr="002B7DFF" w:rsidRDefault="00066267" w:rsidP="00A27E5F">
            <w:pPr>
              <w:pStyle w:val="ListParagraph"/>
              <w:numPr>
                <w:ilvl w:val="0"/>
                <w:numId w:val="2"/>
              </w:numP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Order as </w:t>
            </w:r>
            <w:r w:rsidRPr="002B7DFF">
              <w:rPr>
                <w:rFonts w:ascii="Calibri" w:eastAsiaTheme="minorEastAsia" w:hAnsi="Calibri" w:cs="SegoeUI"/>
                <w:b/>
                <w:color w:val="191919"/>
                <w:sz w:val="22"/>
                <w:szCs w:val="22"/>
              </w:rPr>
              <w:t>‘LMW Heparin assay’</w:t>
            </w:r>
            <w:r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on TRAK</w:t>
            </w:r>
            <w:r w:rsidR="00A27E5F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. </w:t>
            </w:r>
            <w:r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Level </w:t>
            </w:r>
            <w:r w:rsidR="00A27E5F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  <w:u w:val="single"/>
              </w:rPr>
              <w:t>MUST</w:t>
            </w:r>
            <w:r w:rsidR="00A27E5F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</w:t>
            </w:r>
            <w:r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be taken 4 hours post dose</w:t>
            </w:r>
          </w:p>
          <w:p w:rsidR="00F15D23" w:rsidRPr="00F15D23" w:rsidRDefault="00A27E5F" w:rsidP="00F15D23">
            <w:pPr>
              <w:pStyle w:val="ListParagraph"/>
              <w:numPr>
                <w:ilvl w:val="0"/>
                <w:numId w:val="2"/>
              </w:numPr>
              <w:rPr>
                <w:rFonts w:ascii="Calibri" w:eastAsiaTheme="minorEastAsia" w:hAnsi="Calibri" w:cs="SegoeUI"/>
                <w:color w:val="191919"/>
              </w:rPr>
            </w:pPr>
            <w:r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F</w:t>
            </w:r>
            <w:r w:rsidR="007F70D2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or patients requiring a biopsy, </w:t>
            </w:r>
            <w:r w:rsidR="009C4BCF" w:rsidRPr="002B7DF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withhold SC dalteparin the evening before the procedure and take a trough anti-factor Xa level at the same time</w:t>
            </w:r>
          </w:p>
        </w:tc>
      </w:tr>
    </w:tbl>
    <w:p w:rsidR="00F15D23" w:rsidRDefault="00F15D23">
      <w:pPr>
        <w:rPr>
          <w:rFonts w:ascii="Calibri" w:hAnsi="Calibri"/>
          <w:b/>
          <w:sz w:val="32"/>
          <w:szCs w:val="32"/>
        </w:rPr>
      </w:pPr>
    </w:p>
    <w:sectPr w:rsidR="00F15D23" w:rsidSect="00F15D23">
      <w:footerReference w:type="default" r:id="rId9"/>
      <w:pgSz w:w="11900" w:h="16840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23" w:rsidRDefault="00F15D23" w:rsidP="005130D7">
      <w:r>
        <w:separator/>
      </w:r>
    </w:p>
  </w:endnote>
  <w:endnote w:type="continuationSeparator" w:id="0">
    <w:p w:rsidR="00F15D23" w:rsidRDefault="00F15D23" w:rsidP="0051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23" w:rsidRPr="002B7DFF" w:rsidRDefault="00F15D23" w:rsidP="005130D7">
    <w:pPr>
      <w:pStyle w:val="Footer"/>
      <w:jc w:val="right"/>
      <w:rPr>
        <w:rFonts w:asciiTheme="majorHAnsi" w:hAnsiTheme="majorHAnsi"/>
        <w:i/>
        <w:sz w:val="20"/>
        <w:szCs w:val="20"/>
      </w:rPr>
    </w:pPr>
    <w:r w:rsidRPr="002B7DFF">
      <w:rPr>
        <w:rFonts w:asciiTheme="majorHAnsi" w:hAnsiTheme="majorHAnsi"/>
        <w:i/>
        <w:sz w:val="20"/>
        <w:szCs w:val="20"/>
      </w:rPr>
      <w:t>V</w:t>
    </w:r>
    <w:r>
      <w:rPr>
        <w:rFonts w:asciiTheme="majorHAnsi" w:hAnsiTheme="majorHAnsi"/>
        <w:i/>
        <w:sz w:val="20"/>
        <w:szCs w:val="20"/>
      </w:rPr>
      <w:t>ersion 2</w:t>
    </w:r>
    <w:r w:rsidRPr="002B7DFF">
      <w:rPr>
        <w:rFonts w:asciiTheme="majorHAnsi" w:hAnsiTheme="majorHAnsi"/>
        <w:i/>
        <w:sz w:val="20"/>
        <w:szCs w:val="20"/>
      </w:rPr>
      <w:t>.0 June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23" w:rsidRDefault="00F15D23" w:rsidP="005130D7">
      <w:r>
        <w:separator/>
      </w:r>
    </w:p>
  </w:footnote>
  <w:footnote w:type="continuationSeparator" w:id="0">
    <w:p w:rsidR="00F15D23" w:rsidRDefault="00F15D23" w:rsidP="0051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9E1"/>
    <w:multiLevelType w:val="hybridMultilevel"/>
    <w:tmpl w:val="593C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0429"/>
    <w:multiLevelType w:val="hybridMultilevel"/>
    <w:tmpl w:val="A6FA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86C"/>
    <w:multiLevelType w:val="hybridMultilevel"/>
    <w:tmpl w:val="AC9C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D77D9"/>
    <w:multiLevelType w:val="hybridMultilevel"/>
    <w:tmpl w:val="0CC0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660E"/>
    <w:multiLevelType w:val="hybridMultilevel"/>
    <w:tmpl w:val="CC58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1501"/>
    <w:multiLevelType w:val="hybridMultilevel"/>
    <w:tmpl w:val="028281AC"/>
    <w:lvl w:ilvl="0" w:tplc="CE2E300E">
      <w:numFmt w:val="bullet"/>
      <w:lvlText w:val=""/>
      <w:lvlJc w:val="left"/>
      <w:pPr>
        <w:ind w:left="765" w:hanging="360"/>
      </w:pPr>
      <w:rPr>
        <w:rFonts w:ascii="Symbol" w:eastAsiaTheme="minorEastAsia" w:hAnsi="Symbol" w:cs="SegoeU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42C6"/>
    <w:rsid w:val="000113A6"/>
    <w:rsid w:val="00036272"/>
    <w:rsid w:val="00047F08"/>
    <w:rsid w:val="00066267"/>
    <w:rsid w:val="000C18C7"/>
    <w:rsid w:val="0010046E"/>
    <w:rsid w:val="001A4779"/>
    <w:rsid w:val="0028105B"/>
    <w:rsid w:val="00285600"/>
    <w:rsid w:val="002907EB"/>
    <w:rsid w:val="002B7DFF"/>
    <w:rsid w:val="002D0AD7"/>
    <w:rsid w:val="002E0F2D"/>
    <w:rsid w:val="00371CDB"/>
    <w:rsid w:val="00377B3C"/>
    <w:rsid w:val="00390A94"/>
    <w:rsid w:val="003C18FD"/>
    <w:rsid w:val="003D74EE"/>
    <w:rsid w:val="00427C4D"/>
    <w:rsid w:val="00433ADC"/>
    <w:rsid w:val="004D63FD"/>
    <w:rsid w:val="005130D7"/>
    <w:rsid w:val="005347C7"/>
    <w:rsid w:val="005476E8"/>
    <w:rsid w:val="00552BCE"/>
    <w:rsid w:val="005C4701"/>
    <w:rsid w:val="00613F9E"/>
    <w:rsid w:val="006C5AAD"/>
    <w:rsid w:val="00757E89"/>
    <w:rsid w:val="0076658C"/>
    <w:rsid w:val="007F70D2"/>
    <w:rsid w:val="008A42C6"/>
    <w:rsid w:val="008E32E9"/>
    <w:rsid w:val="009237A1"/>
    <w:rsid w:val="009441F9"/>
    <w:rsid w:val="0096489C"/>
    <w:rsid w:val="00986716"/>
    <w:rsid w:val="009937D6"/>
    <w:rsid w:val="009C4BCF"/>
    <w:rsid w:val="009E6A3F"/>
    <w:rsid w:val="00A02777"/>
    <w:rsid w:val="00A27E5F"/>
    <w:rsid w:val="00B46715"/>
    <w:rsid w:val="00B54C36"/>
    <w:rsid w:val="00C02490"/>
    <w:rsid w:val="00C07089"/>
    <w:rsid w:val="00C31B4C"/>
    <w:rsid w:val="00C706B7"/>
    <w:rsid w:val="00C837E9"/>
    <w:rsid w:val="00CC1B1F"/>
    <w:rsid w:val="00CF670D"/>
    <w:rsid w:val="00DE15F3"/>
    <w:rsid w:val="00E12C8B"/>
    <w:rsid w:val="00E138A7"/>
    <w:rsid w:val="00E3294A"/>
    <w:rsid w:val="00E523FA"/>
    <w:rsid w:val="00F15D23"/>
    <w:rsid w:val="00F91B72"/>
    <w:rsid w:val="00FA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70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3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D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13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D7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70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3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D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13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D7"/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6FE4-EDED-4DA5-947F-16E59A3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Hah</dc:creator>
  <cp:lastModifiedBy>Jin Werne Hah</cp:lastModifiedBy>
  <cp:revision>2</cp:revision>
  <cp:lastPrinted>2017-03-31T07:42:00Z</cp:lastPrinted>
  <dcterms:created xsi:type="dcterms:W3CDTF">2017-08-02T12:13:00Z</dcterms:created>
  <dcterms:modified xsi:type="dcterms:W3CDTF">2017-08-02T12:13:00Z</dcterms:modified>
</cp:coreProperties>
</file>