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FB" w:rsidRPr="00FE1A45" w:rsidRDefault="002D60F0" w:rsidP="00FE1A45">
      <w:pPr>
        <w:rPr>
          <w:b/>
          <w:sz w:val="28"/>
          <w:szCs w:val="28"/>
          <w:lang w:val="en-US"/>
        </w:rPr>
      </w:pPr>
      <w:bookmarkStart w:id="0" w:name="_GoBack"/>
      <w:bookmarkEnd w:id="0"/>
      <w:r w:rsidRPr="00FE1A45">
        <w:rPr>
          <w:b/>
          <w:sz w:val="28"/>
          <w:szCs w:val="28"/>
          <w:lang w:val="en-US"/>
        </w:rPr>
        <w:t>Dalteparin to Prevent Clotting in the Extracorporeal Circuit during Haemodialysis</w:t>
      </w:r>
    </w:p>
    <w:p w:rsidR="002D60F0" w:rsidRDefault="002D60F0" w:rsidP="00E23F0C">
      <w:pPr>
        <w:jc w:val="both"/>
        <w:rPr>
          <w:sz w:val="24"/>
          <w:szCs w:val="24"/>
          <w:lang w:val="en-US"/>
        </w:rPr>
      </w:pPr>
      <w:r>
        <w:rPr>
          <w:sz w:val="24"/>
          <w:szCs w:val="24"/>
          <w:lang w:val="en-US"/>
        </w:rPr>
        <w:t>Dalteparin, a low</w:t>
      </w:r>
      <w:r w:rsidR="00DC6743">
        <w:rPr>
          <w:sz w:val="24"/>
          <w:szCs w:val="24"/>
          <w:lang w:val="en-US"/>
        </w:rPr>
        <w:t xml:space="preserve"> molecular weight heparin (LMWH), provides safe, efficient</w:t>
      </w:r>
      <w:r w:rsidR="00256685">
        <w:rPr>
          <w:sz w:val="24"/>
          <w:szCs w:val="24"/>
          <w:lang w:val="en-US"/>
        </w:rPr>
        <w:t>,</w:t>
      </w:r>
      <w:r w:rsidR="00DC6743">
        <w:rPr>
          <w:sz w:val="24"/>
          <w:szCs w:val="24"/>
          <w:lang w:val="en-US"/>
        </w:rPr>
        <w:t xml:space="preserve"> convenient anticoagulation for haemodialysis and is licensed for the prevention of clotting during haemodialysis.</w:t>
      </w:r>
      <w:r w:rsidR="00FE1A45">
        <w:rPr>
          <w:sz w:val="24"/>
          <w:szCs w:val="24"/>
          <w:lang w:val="en-US"/>
        </w:rPr>
        <w:br/>
      </w:r>
      <w:r w:rsidR="00DC6743">
        <w:rPr>
          <w:sz w:val="24"/>
          <w:szCs w:val="24"/>
          <w:lang w:val="en-US"/>
        </w:rPr>
        <w:t xml:space="preserve">In comparison to </w:t>
      </w:r>
      <w:proofErr w:type="spellStart"/>
      <w:r w:rsidR="00DC6743">
        <w:rPr>
          <w:sz w:val="24"/>
          <w:szCs w:val="24"/>
          <w:lang w:val="en-US"/>
        </w:rPr>
        <w:t>unfractionated</w:t>
      </w:r>
      <w:proofErr w:type="spellEnd"/>
      <w:r w:rsidR="00DC6743">
        <w:rPr>
          <w:sz w:val="24"/>
          <w:szCs w:val="24"/>
          <w:lang w:val="en-US"/>
        </w:rPr>
        <w:t xml:space="preserve"> heparin, LMWHs have a more rapid onset of action, cause less platelet activation and less fibrin deposition on </w:t>
      </w:r>
      <w:proofErr w:type="spellStart"/>
      <w:r w:rsidR="00DC6743">
        <w:rPr>
          <w:sz w:val="24"/>
          <w:szCs w:val="24"/>
          <w:lang w:val="en-US"/>
        </w:rPr>
        <w:t>dialyser</w:t>
      </w:r>
      <w:proofErr w:type="spellEnd"/>
      <w:r w:rsidR="00DC6743">
        <w:rPr>
          <w:sz w:val="24"/>
          <w:szCs w:val="24"/>
          <w:lang w:val="en-US"/>
        </w:rPr>
        <w:t xml:space="preserve"> surfaces than </w:t>
      </w:r>
      <w:proofErr w:type="spellStart"/>
      <w:r w:rsidR="00DC6743">
        <w:rPr>
          <w:sz w:val="24"/>
          <w:szCs w:val="24"/>
          <w:lang w:val="en-US"/>
        </w:rPr>
        <w:t>unfractionated</w:t>
      </w:r>
      <w:proofErr w:type="spellEnd"/>
      <w:r w:rsidR="00DC6743">
        <w:rPr>
          <w:sz w:val="24"/>
          <w:szCs w:val="24"/>
          <w:lang w:val="en-US"/>
        </w:rPr>
        <w:t xml:space="preserve"> heparin.  A further advantage is that </w:t>
      </w:r>
      <w:proofErr w:type="spellStart"/>
      <w:r w:rsidR="00256685">
        <w:rPr>
          <w:sz w:val="24"/>
          <w:szCs w:val="24"/>
          <w:lang w:val="en-US"/>
        </w:rPr>
        <w:t>dalteparin</w:t>
      </w:r>
      <w:proofErr w:type="spellEnd"/>
      <w:r w:rsidR="00256685">
        <w:rPr>
          <w:sz w:val="24"/>
          <w:szCs w:val="24"/>
          <w:lang w:val="en-US"/>
        </w:rPr>
        <w:t xml:space="preserve"> has a convenient dosing regimen of a single bolus dose providing anticoagulation for a haemodialysis session of up to 4 hours. Dalteparin is the LMWH of choice on the </w:t>
      </w:r>
      <w:r w:rsidR="00FE1A45">
        <w:rPr>
          <w:sz w:val="24"/>
          <w:szCs w:val="24"/>
          <w:lang w:val="en-US"/>
        </w:rPr>
        <w:t>NHS Lothian</w:t>
      </w:r>
      <w:r w:rsidR="00256685">
        <w:rPr>
          <w:sz w:val="24"/>
          <w:szCs w:val="24"/>
          <w:lang w:val="en-US"/>
        </w:rPr>
        <w:t xml:space="preserve"> formulary. </w:t>
      </w:r>
    </w:p>
    <w:p w:rsidR="00256685" w:rsidRDefault="00FE1A45" w:rsidP="00256685">
      <w:pPr>
        <w:rPr>
          <w:sz w:val="24"/>
          <w:szCs w:val="24"/>
          <w:lang w:val="en-US"/>
        </w:rPr>
      </w:pPr>
      <w:r w:rsidRPr="00FE1A45">
        <w:rPr>
          <w:b/>
          <w:sz w:val="24"/>
          <w:szCs w:val="24"/>
          <w:lang w:val="en-US"/>
        </w:rPr>
        <w:t>USE:</w:t>
      </w:r>
      <w:r>
        <w:rPr>
          <w:sz w:val="24"/>
          <w:szCs w:val="24"/>
          <w:lang w:val="en-US"/>
        </w:rPr>
        <w:t xml:space="preserve"> </w:t>
      </w:r>
      <w:r w:rsidR="00256685">
        <w:rPr>
          <w:sz w:val="24"/>
          <w:szCs w:val="24"/>
          <w:lang w:val="en-US"/>
        </w:rPr>
        <w:t>Patients who are undergoing haemodialysis treatment and who are suitable for treatment with a low molecular weight heparin.</w:t>
      </w:r>
    </w:p>
    <w:p w:rsidR="00256685" w:rsidRDefault="00FE1A45" w:rsidP="00256685">
      <w:pPr>
        <w:rPr>
          <w:sz w:val="24"/>
          <w:szCs w:val="24"/>
          <w:lang w:val="en-US"/>
        </w:rPr>
      </w:pPr>
      <w:proofErr w:type="gramStart"/>
      <w:r>
        <w:rPr>
          <w:sz w:val="24"/>
          <w:szCs w:val="24"/>
          <w:lang w:val="en-US"/>
        </w:rPr>
        <w:t>A</w:t>
      </w:r>
      <w:r w:rsidR="00256685">
        <w:rPr>
          <w:sz w:val="24"/>
          <w:szCs w:val="24"/>
          <w:lang w:val="en-US"/>
        </w:rPr>
        <w:t xml:space="preserve"> standard policy regarding use</w:t>
      </w:r>
      <w:r w:rsidR="00A25904">
        <w:rPr>
          <w:sz w:val="24"/>
          <w:szCs w:val="24"/>
          <w:lang w:val="en-US"/>
        </w:rPr>
        <w:t xml:space="preserve"> </w:t>
      </w:r>
      <w:r w:rsidR="00A115BC">
        <w:rPr>
          <w:sz w:val="24"/>
          <w:szCs w:val="24"/>
          <w:lang w:val="en-US"/>
        </w:rPr>
        <w:t xml:space="preserve">of </w:t>
      </w:r>
      <w:proofErr w:type="spellStart"/>
      <w:r w:rsidR="00A115BC">
        <w:rPr>
          <w:sz w:val="24"/>
          <w:szCs w:val="24"/>
          <w:lang w:val="en-US"/>
        </w:rPr>
        <w:t>d</w:t>
      </w:r>
      <w:r>
        <w:rPr>
          <w:sz w:val="24"/>
          <w:szCs w:val="24"/>
          <w:lang w:val="en-US"/>
        </w:rPr>
        <w:t>alteparin</w:t>
      </w:r>
      <w:proofErr w:type="spellEnd"/>
      <w:r>
        <w:rPr>
          <w:sz w:val="24"/>
          <w:szCs w:val="24"/>
          <w:lang w:val="en-US"/>
        </w:rPr>
        <w:t xml:space="preserve"> for anti coagulation during routine haemodialysis</w:t>
      </w:r>
      <w:r w:rsidR="00A25904">
        <w:rPr>
          <w:sz w:val="24"/>
          <w:szCs w:val="24"/>
          <w:lang w:val="en-US"/>
        </w:rPr>
        <w:t>.</w:t>
      </w:r>
      <w:proofErr w:type="gramEnd"/>
      <w:r w:rsidR="00A25904">
        <w:rPr>
          <w:sz w:val="24"/>
          <w:szCs w:val="24"/>
          <w:lang w:val="en-US"/>
        </w:rPr>
        <w:t xml:space="preserve"> </w:t>
      </w:r>
      <w:r w:rsidR="00590670">
        <w:rPr>
          <w:sz w:val="24"/>
          <w:szCs w:val="24"/>
          <w:lang w:val="en-US"/>
        </w:rPr>
        <w:br/>
      </w:r>
      <w:proofErr w:type="gramStart"/>
      <w:r w:rsidR="00590670">
        <w:rPr>
          <w:sz w:val="24"/>
          <w:szCs w:val="24"/>
          <w:lang w:val="en-US"/>
        </w:rPr>
        <w:t xml:space="preserve">To ensure safe administration of </w:t>
      </w:r>
      <w:proofErr w:type="spellStart"/>
      <w:r w:rsidR="00590670">
        <w:rPr>
          <w:sz w:val="24"/>
          <w:szCs w:val="24"/>
          <w:lang w:val="en-US"/>
        </w:rPr>
        <w:t>dalteparin</w:t>
      </w:r>
      <w:proofErr w:type="spellEnd"/>
      <w:r w:rsidR="00590670">
        <w:rPr>
          <w:sz w:val="24"/>
          <w:szCs w:val="24"/>
          <w:lang w:val="en-US"/>
        </w:rPr>
        <w:t xml:space="preserve"> for the prevention of clotting during haemodialysis.</w:t>
      </w:r>
      <w:proofErr w:type="gramEnd"/>
    </w:p>
    <w:p w:rsidR="006A3C4E" w:rsidRDefault="006A3C4E" w:rsidP="00256685">
      <w:pPr>
        <w:rPr>
          <w:sz w:val="24"/>
          <w:szCs w:val="24"/>
          <w:lang w:val="en-US"/>
        </w:rPr>
      </w:pPr>
    </w:p>
    <w:p w:rsidR="006A3C4E" w:rsidRDefault="006A3C4E" w:rsidP="00256685">
      <w:pPr>
        <w:rPr>
          <w:b/>
          <w:sz w:val="24"/>
          <w:szCs w:val="24"/>
          <w:lang w:val="en-US"/>
        </w:rPr>
      </w:pPr>
      <w:r w:rsidRPr="00FE1A45">
        <w:rPr>
          <w:b/>
          <w:sz w:val="24"/>
          <w:szCs w:val="24"/>
          <w:lang w:val="en-US"/>
        </w:rPr>
        <w:t>D</w:t>
      </w:r>
      <w:r w:rsidR="00FE1A45">
        <w:rPr>
          <w:b/>
          <w:sz w:val="24"/>
          <w:szCs w:val="24"/>
          <w:lang w:val="en-US"/>
        </w:rPr>
        <w:t>OSING and ADMINISTRATION</w:t>
      </w:r>
      <w:r w:rsidRPr="00FE1A45">
        <w:rPr>
          <w:b/>
          <w:sz w:val="24"/>
          <w:szCs w:val="24"/>
          <w:lang w:val="en-US"/>
        </w:rPr>
        <w:t xml:space="preserve"> </w:t>
      </w:r>
    </w:p>
    <w:tbl>
      <w:tblPr>
        <w:tblStyle w:val="TableGrid"/>
        <w:tblW w:w="0" w:type="auto"/>
        <w:tblLook w:val="04A0"/>
      </w:tblPr>
      <w:tblGrid>
        <w:gridCol w:w="3794"/>
        <w:gridCol w:w="5448"/>
      </w:tblGrid>
      <w:tr w:rsidR="00FE1A45" w:rsidTr="00FE1A45">
        <w:tc>
          <w:tcPr>
            <w:tcW w:w="3794" w:type="dxa"/>
          </w:tcPr>
          <w:p w:rsidR="00FE1A45" w:rsidRDefault="004B575F" w:rsidP="00FE1A45">
            <w:pPr>
              <w:jc w:val="center"/>
              <w:rPr>
                <w:b/>
                <w:sz w:val="24"/>
                <w:szCs w:val="24"/>
                <w:lang w:val="en-US"/>
              </w:rPr>
            </w:pPr>
            <w:r>
              <w:rPr>
                <w:b/>
                <w:sz w:val="24"/>
                <w:szCs w:val="24"/>
                <w:lang w:val="en-US"/>
              </w:rPr>
              <w:t xml:space="preserve">Patient </w:t>
            </w:r>
            <w:r w:rsidR="00FE1A45">
              <w:rPr>
                <w:b/>
                <w:sz w:val="24"/>
                <w:szCs w:val="24"/>
                <w:lang w:val="en-US"/>
              </w:rPr>
              <w:t>Target/ Dry Weight</w:t>
            </w:r>
          </w:p>
        </w:tc>
        <w:tc>
          <w:tcPr>
            <w:tcW w:w="5448" w:type="dxa"/>
          </w:tcPr>
          <w:p w:rsidR="00FE1A45" w:rsidRDefault="00FE1A45" w:rsidP="00FE1A45">
            <w:pPr>
              <w:jc w:val="center"/>
              <w:rPr>
                <w:b/>
                <w:sz w:val="24"/>
                <w:szCs w:val="24"/>
                <w:lang w:val="en-US"/>
              </w:rPr>
            </w:pPr>
            <w:r>
              <w:rPr>
                <w:b/>
                <w:sz w:val="24"/>
                <w:szCs w:val="24"/>
                <w:lang w:val="en-US"/>
              </w:rPr>
              <w:t xml:space="preserve">Dalteparin Dose </w:t>
            </w:r>
            <w:r w:rsidRPr="00FE1A45">
              <w:rPr>
                <w:sz w:val="24"/>
                <w:szCs w:val="24"/>
                <w:lang w:val="en-US"/>
              </w:rPr>
              <w:t>– Arterial port at start of dialysis</w:t>
            </w:r>
          </w:p>
        </w:tc>
      </w:tr>
      <w:tr w:rsidR="00FE1A45" w:rsidTr="00FE1A45">
        <w:tc>
          <w:tcPr>
            <w:tcW w:w="3794" w:type="dxa"/>
          </w:tcPr>
          <w:p w:rsidR="00FE1A45" w:rsidRPr="00FE1A45" w:rsidRDefault="000C239F" w:rsidP="00FE1A45">
            <w:pPr>
              <w:jc w:val="center"/>
              <w:rPr>
                <w:sz w:val="24"/>
                <w:szCs w:val="24"/>
                <w:lang w:val="en-US"/>
              </w:rPr>
            </w:pPr>
            <w:r>
              <w:rPr>
                <w:sz w:val="24"/>
                <w:szCs w:val="24"/>
                <w:lang w:val="en-US"/>
              </w:rPr>
              <w:t>Under</w:t>
            </w:r>
            <w:r w:rsidR="00FE1A45" w:rsidRPr="00FE1A45">
              <w:rPr>
                <w:sz w:val="24"/>
                <w:szCs w:val="24"/>
                <w:lang w:val="en-US"/>
              </w:rPr>
              <w:t xml:space="preserve"> 65</w:t>
            </w:r>
            <w:r>
              <w:rPr>
                <w:sz w:val="24"/>
                <w:szCs w:val="24"/>
                <w:lang w:val="en-US"/>
              </w:rPr>
              <w:t xml:space="preserve"> </w:t>
            </w:r>
            <w:r w:rsidR="00FE1A45" w:rsidRPr="00FE1A45">
              <w:rPr>
                <w:sz w:val="24"/>
                <w:szCs w:val="24"/>
                <w:lang w:val="en-US"/>
              </w:rPr>
              <w:t>kg</w:t>
            </w:r>
          </w:p>
        </w:tc>
        <w:tc>
          <w:tcPr>
            <w:tcW w:w="5448" w:type="dxa"/>
          </w:tcPr>
          <w:p w:rsidR="00FE1A45" w:rsidRPr="00FE1A45" w:rsidRDefault="00FE1A45" w:rsidP="00FE1A45">
            <w:pPr>
              <w:jc w:val="center"/>
              <w:rPr>
                <w:sz w:val="24"/>
                <w:szCs w:val="24"/>
                <w:lang w:val="en-US"/>
              </w:rPr>
            </w:pPr>
            <w:r w:rsidRPr="00FE1A45">
              <w:rPr>
                <w:sz w:val="24"/>
                <w:szCs w:val="24"/>
                <w:lang w:val="en-US"/>
              </w:rPr>
              <w:t>2500 units</w:t>
            </w:r>
          </w:p>
        </w:tc>
      </w:tr>
      <w:tr w:rsidR="00FE1A45" w:rsidTr="00FE1A45">
        <w:tc>
          <w:tcPr>
            <w:tcW w:w="3794" w:type="dxa"/>
          </w:tcPr>
          <w:p w:rsidR="00FE1A45" w:rsidRPr="00FE1A45" w:rsidRDefault="000C239F" w:rsidP="00FE1A45">
            <w:pPr>
              <w:jc w:val="center"/>
              <w:rPr>
                <w:sz w:val="24"/>
                <w:szCs w:val="24"/>
                <w:lang w:val="en-US"/>
              </w:rPr>
            </w:pPr>
            <w:r>
              <w:rPr>
                <w:sz w:val="24"/>
                <w:szCs w:val="24"/>
                <w:lang w:val="en-US"/>
              </w:rPr>
              <w:t>65 – 90 kg</w:t>
            </w:r>
          </w:p>
        </w:tc>
        <w:tc>
          <w:tcPr>
            <w:tcW w:w="5448" w:type="dxa"/>
          </w:tcPr>
          <w:p w:rsidR="00FE1A45" w:rsidRPr="00FE1A45" w:rsidRDefault="000C239F" w:rsidP="00FE1A45">
            <w:pPr>
              <w:jc w:val="center"/>
              <w:rPr>
                <w:sz w:val="24"/>
                <w:szCs w:val="24"/>
                <w:lang w:val="en-US"/>
              </w:rPr>
            </w:pPr>
            <w:r>
              <w:rPr>
                <w:sz w:val="24"/>
                <w:szCs w:val="24"/>
                <w:lang w:val="en-US"/>
              </w:rPr>
              <w:t>5000 units</w:t>
            </w:r>
          </w:p>
        </w:tc>
      </w:tr>
      <w:tr w:rsidR="00FE1A45" w:rsidTr="00FE1A45">
        <w:tc>
          <w:tcPr>
            <w:tcW w:w="3794" w:type="dxa"/>
          </w:tcPr>
          <w:p w:rsidR="00FE1A45" w:rsidRPr="00FE1A45" w:rsidRDefault="000C239F" w:rsidP="00FE1A45">
            <w:pPr>
              <w:jc w:val="center"/>
              <w:rPr>
                <w:sz w:val="24"/>
                <w:szCs w:val="24"/>
                <w:lang w:val="en-US"/>
              </w:rPr>
            </w:pPr>
            <w:r>
              <w:rPr>
                <w:sz w:val="24"/>
                <w:szCs w:val="24"/>
                <w:lang w:val="en-US"/>
              </w:rPr>
              <w:t>Over 90 kg</w:t>
            </w:r>
          </w:p>
        </w:tc>
        <w:tc>
          <w:tcPr>
            <w:tcW w:w="5448" w:type="dxa"/>
          </w:tcPr>
          <w:p w:rsidR="00FE1A45" w:rsidRPr="00FE1A45" w:rsidRDefault="000C239F" w:rsidP="00FE1A45">
            <w:pPr>
              <w:jc w:val="center"/>
              <w:rPr>
                <w:sz w:val="24"/>
                <w:szCs w:val="24"/>
                <w:lang w:val="en-US"/>
              </w:rPr>
            </w:pPr>
            <w:r>
              <w:rPr>
                <w:sz w:val="24"/>
                <w:szCs w:val="24"/>
                <w:lang w:val="en-US"/>
              </w:rPr>
              <w:t>7500 units</w:t>
            </w:r>
          </w:p>
        </w:tc>
      </w:tr>
    </w:tbl>
    <w:p w:rsidR="00FE1A45" w:rsidRDefault="00FE1A45" w:rsidP="00256685">
      <w:pPr>
        <w:rPr>
          <w:b/>
          <w:sz w:val="24"/>
          <w:szCs w:val="24"/>
          <w:lang w:val="en-US"/>
        </w:rPr>
      </w:pPr>
    </w:p>
    <w:p w:rsidR="000C239F" w:rsidRDefault="000C239F" w:rsidP="000C239F">
      <w:pPr>
        <w:rPr>
          <w:b/>
          <w:sz w:val="24"/>
          <w:szCs w:val="24"/>
          <w:lang w:val="en-US"/>
        </w:rPr>
      </w:pPr>
      <w:r w:rsidRPr="000C239F">
        <w:rPr>
          <w:b/>
          <w:sz w:val="24"/>
          <w:szCs w:val="24"/>
          <w:lang w:val="en-US"/>
        </w:rPr>
        <w:t>Dose Adjustment</w:t>
      </w:r>
    </w:p>
    <w:p w:rsidR="000C239F" w:rsidRPr="004B575F" w:rsidRDefault="000C239F" w:rsidP="004B575F">
      <w:pPr>
        <w:pStyle w:val="ListParagraph"/>
        <w:numPr>
          <w:ilvl w:val="0"/>
          <w:numId w:val="12"/>
        </w:numPr>
        <w:rPr>
          <w:sz w:val="24"/>
          <w:szCs w:val="24"/>
          <w:lang w:val="en-US"/>
        </w:rPr>
      </w:pPr>
      <w:r w:rsidRPr="004B575F">
        <w:rPr>
          <w:sz w:val="24"/>
          <w:szCs w:val="24"/>
          <w:lang w:val="en-US"/>
        </w:rPr>
        <w:t xml:space="preserve">Consider lower dose for planned haemodialysis treatment of </w:t>
      </w:r>
      <w:r w:rsidRPr="004B575F">
        <w:rPr>
          <w:b/>
          <w:sz w:val="24"/>
          <w:szCs w:val="24"/>
          <w:lang w:val="en-US"/>
        </w:rPr>
        <w:t>less than four</w:t>
      </w:r>
      <w:r w:rsidRPr="004B575F">
        <w:rPr>
          <w:sz w:val="24"/>
          <w:szCs w:val="24"/>
          <w:lang w:val="en-US"/>
        </w:rPr>
        <w:t xml:space="preserve"> hours</w:t>
      </w:r>
      <w:r w:rsidR="00660693" w:rsidRPr="004B575F">
        <w:rPr>
          <w:sz w:val="24"/>
          <w:szCs w:val="24"/>
          <w:lang w:val="en-US"/>
        </w:rPr>
        <w:t>.</w:t>
      </w:r>
    </w:p>
    <w:p w:rsidR="00660693" w:rsidRPr="004B575F" w:rsidRDefault="00660693" w:rsidP="004B575F">
      <w:pPr>
        <w:pStyle w:val="ListParagraph"/>
        <w:numPr>
          <w:ilvl w:val="0"/>
          <w:numId w:val="12"/>
        </w:numPr>
        <w:rPr>
          <w:sz w:val="24"/>
          <w:szCs w:val="24"/>
          <w:lang w:val="en-US"/>
        </w:rPr>
      </w:pPr>
      <w:r w:rsidRPr="004B575F">
        <w:rPr>
          <w:sz w:val="24"/>
          <w:szCs w:val="24"/>
          <w:lang w:val="en-US"/>
        </w:rPr>
        <w:t xml:space="preserve">For patients </w:t>
      </w:r>
      <w:r>
        <w:t>who experience clotting of the dialys</w:t>
      </w:r>
      <w:r w:rsidR="00A115BC">
        <w:t xml:space="preserve">is circuits with 2500 units of </w:t>
      </w:r>
      <w:proofErr w:type="spellStart"/>
      <w:r w:rsidR="00A115BC">
        <w:t>d</w:t>
      </w:r>
      <w:r>
        <w:t>alteparin</w:t>
      </w:r>
      <w:proofErr w:type="spellEnd"/>
      <w:r>
        <w:t xml:space="preserve"> use 5000</w:t>
      </w:r>
      <w:r w:rsidRPr="004B575F">
        <w:rPr>
          <w:b/>
          <w:bCs/>
        </w:rPr>
        <w:t xml:space="preserve"> </w:t>
      </w:r>
      <w:r>
        <w:t>units for the next dialysis session.</w:t>
      </w:r>
    </w:p>
    <w:p w:rsidR="00660693" w:rsidRDefault="00660693" w:rsidP="004B575F">
      <w:pPr>
        <w:pStyle w:val="ListParagraph"/>
        <w:numPr>
          <w:ilvl w:val="0"/>
          <w:numId w:val="12"/>
        </w:numPr>
      </w:pPr>
      <w:r w:rsidRPr="004B575F">
        <w:rPr>
          <w:sz w:val="24"/>
          <w:szCs w:val="24"/>
          <w:lang w:val="en-US"/>
        </w:rPr>
        <w:t xml:space="preserve">For patients </w:t>
      </w:r>
      <w:r>
        <w:t>who experience clotting of the dialys</w:t>
      </w:r>
      <w:r w:rsidR="00A115BC">
        <w:t xml:space="preserve">is circuits with 5000 units of </w:t>
      </w:r>
      <w:proofErr w:type="spellStart"/>
      <w:r w:rsidR="00A115BC">
        <w:t>d</w:t>
      </w:r>
      <w:r>
        <w:t>alteparin</w:t>
      </w:r>
      <w:proofErr w:type="spellEnd"/>
      <w:r>
        <w:t xml:space="preserve"> use 7500</w:t>
      </w:r>
      <w:r w:rsidRPr="004B575F">
        <w:rPr>
          <w:b/>
          <w:bCs/>
        </w:rPr>
        <w:t xml:space="preserve"> </w:t>
      </w:r>
      <w:r>
        <w:t>units for the next dialysis session.</w:t>
      </w:r>
    </w:p>
    <w:p w:rsidR="004B575F" w:rsidRDefault="00660693" w:rsidP="004B575F">
      <w:pPr>
        <w:pStyle w:val="ListParagraph"/>
        <w:numPr>
          <w:ilvl w:val="0"/>
          <w:numId w:val="12"/>
        </w:numPr>
        <w:rPr>
          <w:sz w:val="24"/>
          <w:szCs w:val="24"/>
          <w:lang w:val="en-US"/>
        </w:rPr>
      </w:pPr>
      <w:r>
        <w:t xml:space="preserve">For patients who </w:t>
      </w:r>
      <w:r w:rsidRPr="004B575F">
        <w:rPr>
          <w:sz w:val="24"/>
          <w:szCs w:val="24"/>
          <w:lang w:val="en-US"/>
        </w:rPr>
        <w:t>continue to experience clotting during dialysi</w:t>
      </w:r>
      <w:r w:rsidR="00A115BC">
        <w:rPr>
          <w:sz w:val="24"/>
          <w:szCs w:val="24"/>
          <w:lang w:val="en-US"/>
        </w:rPr>
        <w:t xml:space="preserve">s despite having 7500 units of </w:t>
      </w:r>
      <w:proofErr w:type="spellStart"/>
      <w:r w:rsidR="00A115BC">
        <w:rPr>
          <w:sz w:val="24"/>
          <w:szCs w:val="24"/>
          <w:lang w:val="en-US"/>
        </w:rPr>
        <w:t>d</w:t>
      </w:r>
      <w:r w:rsidRPr="004B575F">
        <w:rPr>
          <w:sz w:val="24"/>
          <w:szCs w:val="24"/>
          <w:lang w:val="en-US"/>
        </w:rPr>
        <w:t>alteparin</w:t>
      </w:r>
      <w:proofErr w:type="spellEnd"/>
      <w:r w:rsidRPr="004B575F">
        <w:rPr>
          <w:sz w:val="24"/>
          <w:szCs w:val="24"/>
          <w:lang w:val="en-US"/>
        </w:rPr>
        <w:t xml:space="preserve"> consider a further dose of 2500 units at the mid-point of the dialysis session.</w:t>
      </w:r>
    </w:p>
    <w:p w:rsidR="00660693" w:rsidRPr="004B575F" w:rsidRDefault="00660693" w:rsidP="004B575F">
      <w:pPr>
        <w:pStyle w:val="ListParagraph"/>
        <w:numPr>
          <w:ilvl w:val="0"/>
          <w:numId w:val="12"/>
        </w:numPr>
        <w:rPr>
          <w:sz w:val="24"/>
          <w:szCs w:val="24"/>
          <w:lang w:val="en-US"/>
        </w:rPr>
      </w:pPr>
      <w:r w:rsidRPr="004B575F">
        <w:rPr>
          <w:sz w:val="24"/>
          <w:szCs w:val="24"/>
          <w:lang w:val="en-US"/>
        </w:rPr>
        <w:t xml:space="preserve">For patients who have prolonged bleeding from the </w:t>
      </w:r>
      <w:r w:rsidR="00A115BC">
        <w:rPr>
          <w:sz w:val="24"/>
          <w:szCs w:val="24"/>
          <w:lang w:val="en-US"/>
        </w:rPr>
        <w:t xml:space="preserve">needle site post dialysis  the </w:t>
      </w:r>
      <w:proofErr w:type="spellStart"/>
      <w:r w:rsidR="00A115BC">
        <w:rPr>
          <w:sz w:val="24"/>
          <w:szCs w:val="24"/>
          <w:lang w:val="en-US"/>
        </w:rPr>
        <w:t>d</w:t>
      </w:r>
      <w:r w:rsidRPr="004B575F">
        <w:rPr>
          <w:sz w:val="24"/>
          <w:szCs w:val="24"/>
          <w:lang w:val="en-US"/>
        </w:rPr>
        <w:t>alteparin</w:t>
      </w:r>
      <w:proofErr w:type="spellEnd"/>
      <w:r w:rsidRPr="004B575F">
        <w:rPr>
          <w:sz w:val="24"/>
          <w:szCs w:val="24"/>
          <w:lang w:val="en-US"/>
        </w:rPr>
        <w:t xml:space="preserve"> dose should be reduced to 2500 units for those receiving 5000 units and 5000 units for those receiving 7500 units. </w:t>
      </w:r>
    </w:p>
    <w:p w:rsidR="005F42F2" w:rsidRPr="004B575F" w:rsidRDefault="005F42F2" w:rsidP="004B575F">
      <w:pPr>
        <w:pStyle w:val="ListParagraph"/>
        <w:numPr>
          <w:ilvl w:val="0"/>
          <w:numId w:val="12"/>
        </w:numPr>
        <w:rPr>
          <w:sz w:val="24"/>
          <w:szCs w:val="24"/>
          <w:lang w:val="en-US"/>
        </w:rPr>
      </w:pPr>
      <w:r w:rsidRPr="004B575F">
        <w:rPr>
          <w:sz w:val="24"/>
          <w:szCs w:val="24"/>
          <w:lang w:val="en-US"/>
        </w:rPr>
        <w:t>If concerns persist regarding clotting or prolonged bleeding consider measuring anti-</w:t>
      </w:r>
      <w:proofErr w:type="spellStart"/>
      <w:r w:rsidRPr="004B575F">
        <w:rPr>
          <w:sz w:val="24"/>
          <w:szCs w:val="24"/>
          <w:lang w:val="en-US"/>
        </w:rPr>
        <w:t>Xa</w:t>
      </w:r>
      <w:proofErr w:type="spellEnd"/>
      <w:r w:rsidRPr="004B575F">
        <w:rPr>
          <w:sz w:val="24"/>
          <w:szCs w:val="24"/>
          <w:lang w:val="en-US"/>
        </w:rPr>
        <w:t xml:space="preserve"> activity.</w:t>
      </w:r>
    </w:p>
    <w:p w:rsidR="00590670" w:rsidRDefault="00590670" w:rsidP="00590670">
      <w:pPr>
        <w:rPr>
          <w:b/>
          <w:sz w:val="24"/>
          <w:szCs w:val="24"/>
          <w:lang w:val="en-US"/>
        </w:rPr>
      </w:pPr>
      <w:r w:rsidRPr="00A558F5">
        <w:rPr>
          <w:b/>
          <w:sz w:val="24"/>
          <w:szCs w:val="24"/>
          <w:lang w:val="en-US"/>
        </w:rPr>
        <w:lastRenderedPageBreak/>
        <w:t>Contraindications</w:t>
      </w:r>
      <w:r>
        <w:rPr>
          <w:b/>
          <w:sz w:val="24"/>
          <w:szCs w:val="24"/>
          <w:lang w:val="en-US"/>
        </w:rPr>
        <w:t xml:space="preserve"> to </w:t>
      </w:r>
      <w:proofErr w:type="spellStart"/>
      <w:r>
        <w:rPr>
          <w:b/>
          <w:sz w:val="24"/>
          <w:szCs w:val="24"/>
          <w:lang w:val="en-US"/>
        </w:rPr>
        <w:t>dalteparin</w:t>
      </w:r>
      <w:proofErr w:type="spellEnd"/>
    </w:p>
    <w:p w:rsidR="00590670" w:rsidRDefault="00590670" w:rsidP="00590670">
      <w:pPr>
        <w:pStyle w:val="ListParagraph"/>
        <w:numPr>
          <w:ilvl w:val="0"/>
          <w:numId w:val="8"/>
        </w:numPr>
        <w:rPr>
          <w:sz w:val="24"/>
          <w:szCs w:val="24"/>
          <w:lang w:val="en-US"/>
        </w:rPr>
      </w:pPr>
      <w:r w:rsidRPr="00FE1A45">
        <w:rPr>
          <w:sz w:val="24"/>
          <w:szCs w:val="24"/>
          <w:lang w:val="en-US"/>
        </w:rPr>
        <w:t xml:space="preserve">Patients taking </w:t>
      </w:r>
      <w:proofErr w:type="spellStart"/>
      <w:r w:rsidRPr="00FE1A45">
        <w:rPr>
          <w:sz w:val="24"/>
          <w:szCs w:val="24"/>
          <w:lang w:val="en-US"/>
        </w:rPr>
        <w:t>warfarin</w:t>
      </w:r>
      <w:proofErr w:type="spellEnd"/>
      <w:r w:rsidRPr="00FE1A45">
        <w:rPr>
          <w:sz w:val="24"/>
          <w:szCs w:val="24"/>
          <w:lang w:val="en-US"/>
        </w:rPr>
        <w:t xml:space="preserve"> or on any other anticoagulation should be discussed with medical team before administering </w:t>
      </w:r>
      <w:proofErr w:type="spellStart"/>
      <w:r>
        <w:rPr>
          <w:sz w:val="24"/>
          <w:szCs w:val="24"/>
          <w:lang w:val="en-US"/>
        </w:rPr>
        <w:t>d</w:t>
      </w:r>
      <w:r w:rsidRPr="00FE1A45">
        <w:rPr>
          <w:sz w:val="24"/>
          <w:szCs w:val="24"/>
          <w:lang w:val="en-US"/>
        </w:rPr>
        <w:t>alteparin</w:t>
      </w:r>
      <w:proofErr w:type="spellEnd"/>
      <w:r w:rsidRPr="00FE1A45">
        <w:rPr>
          <w:sz w:val="24"/>
          <w:szCs w:val="24"/>
          <w:lang w:val="en-US"/>
        </w:rPr>
        <w:t xml:space="preserve"> </w:t>
      </w:r>
    </w:p>
    <w:p w:rsidR="00590670" w:rsidRPr="00FE1A45" w:rsidRDefault="00590670" w:rsidP="00590670">
      <w:pPr>
        <w:pStyle w:val="ListParagraph"/>
        <w:numPr>
          <w:ilvl w:val="0"/>
          <w:numId w:val="8"/>
        </w:numPr>
        <w:rPr>
          <w:sz w:val="24"/>
          <w:szCs w:val="24"/>
          <w:lang w:val="en-US"/>
        </w:rPr>
      </w:pPr>
      <w:r w:rsidRPr="00FE1A45">
        <w:rPr>
          <w:sz w:val="24"/>
          <w:szCs w:val="24"/>
          <w:lang w:val="en-US"/>
        </w:rPr>
        <w:t xml:space="preserve">Patients should not be given </w:t>
      </w:r>
      <w:proofErr w:type="spellStart"/>
      <w:r>
        <w:rPr>
          <w:sz w:val="24"/>
          <w:szCs w:val="24"/>
          <w:lang w:val="en-US"/>
        </w:rPr>
        <w:t>d</w:t>
      </w:r>
      <w:r w:rsidRPr="00FE1A45">
        <w:rPr>
          <w:sz w:val="24"/>
          <w:szCs w:val="24"/>
          <w:lang w:val="en-US"/>
        </w:rPr>
        <w:t>alteparin</w:t>
      </w:r>
      <w:proofErr w:type="spellEnd"/>
      <w:r w:rsidRPr="00FE1A45">
        <w:rPr>
          <w:sz w:val="24"/>
          <w:szCs w:val="24"/>
          <w:lang w:val="en-US"/>
        </w:rPr>
        <w:t xml:space="preserve"> for 24 hours before and after invasive procedures including surgery </w:t>
      </w:r>
    </w:p>
    <w:p w:rsidR="00590670" w:rsidRPr="00FE1A45" w:rsidRDefault="00590670" w:rsidP="00590670">
      <w:pPr>
        <w:pStyle w:val="ListParagraph"/>
        <w:numPr>
          <w:ilvl w:val="0"/>
          <w:numId w:val="8"/>
        </w:numPr>
        <w:rPr>
          <w:sz w:val="24"/>
          <w:szCs w:val="24"/>
          <w:lang w:val="en-US"/>
        </w:rPr>
      </w:pPr>
      <w:r w:rsidRPr="00FE1A45">
        <w:rPr>
          <w:sz w:val="24"/>
          <w:szCs w:val="24"/>
          <w:lang w:val="en-US"/>
        </w:rPr>
        <w:t>Hypersensitivity to heparin or to LMWHs</w:t>
      </w:r>
    </w:p>
    <w:p w:rsidR="00590670" w:rsidRPr="00FE1A45" w:rsidRDefault="00590670" w:rsidP="00590670">
      <w:pPr>
        <w:pStyle w:val="ListParagraph"/>
        <w:numPr>
          <w:ilvl w:val="0"/>
          <w:numId w:val="8"/>
        </w:numPr>
        <w:rPr>
          <w:sz w:val="24"/>
          <w:szCs w:val="24"/>
          <w:lang w:val="en-US"/>
        </w:rPr>
      </w:pPr>
      <w:proofErr w:type="spellStart"/>
      <w:r w:rsidRPr="00FE1A45">
        <w:rPr>
          <w:sz w:val="24"/>
          <w:szCs w:val="24"/>
          <w:lang w:val="en-US"/>
        </w:rPr>
        <w:t>Haemophilia</w:t>
      </w:r>
      <w:proofErr w:type="spellEnd"/>
      <w:r w:rsidRPr="00FE1A45">
        <w:rPr>
          <w:sz w:val="24"/>
          <w:szCs w:val="24"/>
          <w:lang w:val="en-US"/>
        </w:rPr>
        <w:t xml:space="preserve"> and other </w:t>
      </w:r>
      <w:proofErr w:type="spellStart"/>
      <w:r w:rsidRPr="00FE1A45">
        <w:rPr>
          <w:sz w:val="24"/>
          <w:szCs w:val="24"/>
          <w:lang w:val="en-US"/>
        </w:rPr>
        <w:t>haemorrhagic</w:t>
      </w:r>
      <w:proofErr w:type="spellEnd"/>
      <w:r w:rsidRPr="00FE1A45">
        <w:rPr>
          <w:sz w:val="24"/>
          <w:szCs w:val="24"/>
          <w:lang w:val="en-US"/>
        </w:rPr>
        <w:t xml:space="preserve"> disorders</w:t>
      </w:r>
    </w:p>
    <w:p w:rsidR="00590670" w:rsidRPr="00FE1A45" w:rsidRDefault="00590670" w:rsidP="00590670">
      <w:pPr>
        <w:pStyle w:val="ListParagraph"/>
        <w:numPr>
          <w:ilvl w:val="0"/>
          <w:numId w:val="8"/>
        </w:numPr>
        <w:rPr>
          <w:sz w:val="24"/>
          <w:szCs w:val="24"/>
          <w:lang w:val="en-US"/>
        </w:rPr>
      </w:pPr>
      <w:r w:rsidRPr="00FE1A45">
        <w:rPr>
          <w:sz w:val="24"/>
          <w:szCs w:val="24"/>
          <w:lang w:val="en-US"/>
        </w:rPr>
        <w:t xml:space="preserve">Thrombocytopenia </w:t>
      </w:r>
    </w:p>
    <w:p w:rsidR="00590670" w:rsidRPr="00FE1A45" w:rsidRDefault="00590670" w:rsidP="00590670">
      <w:pPr>
        <w:pStyle w:val="ListParagraph"/>
        <w:numPr>
          <w:ilvl w:val="0"/>
          <w:numId w:val="8"/>
        </w:numPr>
        <w:rPr>
          <w:sz w:val="24"/>
          <w:szCs w:val="24"/>
          <w:lang w:val="en-US"/>
        </w:rPr>
      </w:pPr>
      <w:r w:rsidRPr="00FE1A45">
        <w:rPr>
          <w:sz w:val="24"/>
          <w:szCs w:val="24"/>
          <w:lang w:val="en-US"/>
        </w:rPr>
        <w:t xml:space="preserve">Recent </w:t>
      </w:r>
      <w:proofErr w:type="spellStart"/>
      <w:r w:rsidRPr="00FE1A45">
        <w:rPr>
          <w:sz w:val="24"/>
          <w:szCs w:val="24"/>
          <w:lang w:val="en-US"/>
        </w:rPr>
        <w:t>cereberal</w:t>
      </w:r>
      <w:proofErr w:type="spellEnd"/>
      <w:r w:rsidRPr="00FE1A45">
        <w:rPr>
          <w:sz w:val="24"/>
          <w:szCs w:val="24"/>
          <w:lang w:val="en-US"/>
        </w:rPr>
        <w:t xml:space="preserve"> </w:t>
      </w:r>
      <w:proofErr w:type="spellStart"/>
      <w:r w:rsidRPr="00FE1A45">
        <w:rPr>
          <w:sz w:val="24"/>
          <w:szCs w:val="24"/>
          <w:lang w:val="en-US"/>
        </w:rPr>
        <w:t>haemorrhage</w:t>
      </w:r>
      <w:proofErr w:type="spellEnd"/>
    </w:p>
    <w:p w:rsidR="00590670" w:rsidRPr="00FE1A45" w:rsidRDefault="00590670" w:rsidP="00590670">
      <w:pPr>
        <w:pStyle w:val="ListParagraph"/>
        <w:numPr>
          <w:ilvl w:val="0"/>
          <w:numId w:val="8"/>
        </w:numPr>
        <w:rPr>
          <w:sz w:val="24"/>
          <w:szCs w:val="24"/>
          <w:lang w:val="en-US"/>
        </w:rPr>
      </w:pPr>
      <w:r w:rsidRPr="00FE1A45">
        <w:rPr>
          <w:sz w:val="24"/>
          <w:szCs w:val="24"/>
          <w:lang w:val="en-US"/>
        </w:rPr>
        <w:t>Severe liver disease</w:t>
      </w:r>
    </w:p>
    <w:p w:rsidR="00590670" w:rsidRPr="00FE1A45" w:rsidRDefault="00590670" w:rsidP="00590670">
      <w:pPr>
        <w:pStyle w:val="ListParagraph"/>
        <w:numPr>
          <w:ilvl w:val="0"/>
          <w:numId w:val="9"/>
        </w:numPr>
        <w:rPr>
          <w:sz w:val="24"/>
          <w:szCs w:val="24"/>
          <w:lang w:val="en-US"/>
        </w:rPr>
      </w:pPr>
      <w:r w:rsidRPr="00FE1A45">
        <w:rPr>
          <w:sz w:val="24"/>
          <w:szCs w:val="24"/>
          <w:lang w:val="en-US"/>
        </w:rPr>
        <w:t>Acute peptic ulceration</w:t>
      </w:r>
    </w:p>
    <w:p w:rsidR="00590670" w:rsidRPr="00FE1A45" w:rsidRDefault="00590670" w:rsidP="00590670">
      <w:pPr>
        <w:pStyle w:val="ListParagraph"/>
        <w:numPr>
          <w:ilvl w:val="0"/>
          <w:numId w:val="9"/>
        </w:numPr>
        <w:rPr>
          <w:sz w:val="24"/>
          <w:szCs w:val="24"/>
          <w:lang w:val="en-US"/>
        </w:rPr>
      </w:pPr>
      <w:r w:rsidRPr="00FE1A45">
        <w:rPr>
          <w:sz w:val="24"/>
          <w:szCs w:val="24"/>
          <w:lang w:val="en-US"/>
        </w:rPr>
        <w:t xml:space="preserve">After major trauma or recent surgery </w:t>
      </w:r>
    </w:p>
    <w:p w:rsidR="00590670" w:rsidRPr="00FE1A45" w:rsidRDefault="00590670" w:rsidP="00590670">
      <w:pPr>
        <w:pStyle w:val="ListParagraph"/>
        <w:numPr>
          <w:ilvl w:val="0"/>
          <w:numId w:val="9"/>
        </w:numPr>
        <w:rPr>
          <w:sz w:val="24"/>
          <w:szCs w:val="24"/>
          <w:lang w:val="en-US"/>
        </w:rPr>
      </w:pPr>
      <w:r w:rsidRPr="00FE1A45">
        <w:rPr>
          <w:sz w:val="24"/>
          <w:szCs w:val="24"/>
          <w:lang w:val="en-US"/>
        </w:rPr>
        <w:t>Stroke within last 3 months</w:t>
      </w:r>
    </w:p>
    <w:p w:rsidR="00590670" w:rsidRPr="0084358C" w:rsidRDefault="00590670" w:rsidP="00590670">
      <w:pPr>
        <w:rPr>
          <w:b/>
          <w:sz w:val="24"/>
          <w:szCs w:val="24"/>
          <w:lang w:val="en-US"/>
        </w:rPr>
      </w:pPr>
    </w:p>
    <w:p w:rsidR="00590670" w:rsidRPr="0084358C" w:rsidRDefault="00590670" w:rsidP="00590670">
      <w:pPr>
        <w:rPr>
          <w:b/>
          <w:sz w:val="24"/>
          <w:szCs w:val="24"/>
          <w:lang w:val="en-US"/>
        </w:rPr>
      </w:pPr>
      <w:r>
        <w:rPr>
          <w:b/>
          <w:sz w:val="24"/>
          <w:szCs w:val="24"/>
          <w:lang w:val="en-US"/>
        </w:rPr>
        <w:t>Potential s</w:t>
      </w:r>
      <w:r w:rsidRPr="0084358C">
        <w:rPr>
          <w:b/>
          <w:sz w:val="24"/>
          <w:szCs w:val="24"/>
          <w:lang w:val="en-US"/>
        </w:rPr>
        <w:t>ide effects</w:t>
      </w:r>
      <w:r>
        <w:rPr>
          <w:b/>
          <w:sz w:val="24"/>
          <w:szCs w:val="24"/>
          <w:lang w:val="en-US"/>
        </w:rPr>
        <w:t xml:space="preserve"> of </w:t>
      </w:r>
      <w:proofErr w:type="spellStart"/>
      <w:r>
        <w:rPr>
          <w:b/>
          <w:sz w:val="24"/>
          <w:szCs w:val="24"/>
          <w:lang w:val="en-US"/>
        </w:rPr>
        <w:t>dalteparin</w:t>
      </w:r>
      <w:proofErr w:type="spellEnd"/>
    </w:p>
    <w:p w:rsidR="00590670" w:rsidRPr="00FE1A45" w:rsidRDefault="00590670" w:rsidP="00590670">
      <w:pPr>
        <w:pStyle w:val="ListParagraph"/>
        <w:numPr>
          <w:ilvl w:val="0"/>
          <w:numId w:val="10"/>
        </w:numPr>
        <w:rPr>
          <w:sz w:val="24"/>
          <w:szCs w:val="24"/>
          <w:lang w:val="en-US"/>
        </w:rPr>
      </w:pPr>
      <w:r w:rsidRPr="00FE1A45">
        <w:rPr>
          <w:sz w:val="24"/>
          <w:szCs w:val="24"/>
          <w:lang w:val="en-US"/>
        </w:rPr>
        <w:t>Skin rashes (and minor bruising at injection site)</w:t>
      </w:r>
    </w:p>
    <w:p w:rsidR="00590670" w:rsidRPr="00FE1A45" w:rsidRDefault="00590670" w:rsidP="00590670">
      <w:pPr>
        <w:pStyle w:val="ListParagraph"/>
        <w:numPr>
          <w:ilvl w:val="0"/>
          <w:numId w:val="10"/>
        </w:numPr>
        <w:rPr>
          <w:sz w:val="24"/>
          <w:szCs w:val="24"/>
          <w:lang w:val="en-US"/>
        </w:rPr>
      </w:pPr>
      <w:r w:rsidRPr="00FE1A45">
        <w:rPr>
          <w:sz w:val="24"/>
          <w:szCs w:val="24"/>
          <w:lang w:val="en-US"/>
        </w:rPr>
        <w:t>Systemic allergic reaction</w:t>
      </w:r>
    </w:p>
    <w:p w:rsidR="00590670" w:rsidRPr="00FE1A45" w:rsidRDefault="00590670" w:rsidP="00590670">
      <w:pPr>
        <w:pStyle w:val="ListParagraph"/>
        <w:numPr>
          <w:ilvl w:val="0"/>
          <w:numId w:val="10"/>
        </w:numPr>
        <w:rPr>
          <w:sz w:val="24"/>
          <w:szCs w:val="24"/>
          <w:lang w:val="en-US"/>
        </w:rPr>
      </w:pPr>
      <w:r w:rsidRPr="00FE1A45">
        <w:rPr>
          <w:sz w:val="24"/>
          <w:szCs w:val="24"/>
          <w:lang w:val="en-US"/>
        </w:rPr>
        <w:t xml:space="preserve">Excessive bleeding </w:t>
      </w:r>
    </w:p>
    <w:p w:rsidR="00590670" w:rsidRPr="00FE1A45" w:rsidRDefault="00590670" w:rsidP="00590670">
      <w:pPr>
        <w:pStyle w:val="ListParagraph"/>
        <w:numPr>
          <w:ilvl w:val="0"/>
          <w:numId w:val="10"/>
        </w:numPr>
        <w:rPr>
          <w:sz w:val="24"/>
          <w:szCs w:val="24"/>
          <w:lang w:val="en-US"/>
        </w:rPr>
      </w:pPr>
      <w:r w:rsidRPr="00FE1A45">
        <w:rPr>
          <w:sz w:val="24"/>
          <w:szCs w:val="24"/>
          <w:lang w:val="en-US"/>
        </w:rPr>
        <w:t xml:space="preserve">Thrombocytopenia </w:t>
      </w:r>
    </w:p>
    <w:p w:rsidR="00590670" w:rsidRPr="00FE1A45" w:rsidRDefault="00590670" w:rsidP="00590670">
      <w:pPr>
        <w:pStyle w:val="ListParagraph"/>
        <w:numPr>
          <w:ilvl w:val="0"/>
          <w:numId w:val="10"/>
        </w:numPr>
        <w:rPr>
          <w:sz w:val="24"/>
          <w:szCs w:val="24"/>
          <w:lang w:val="en-US"/>
        </w:rPr>
      </w:pPr>
      <w:r w:rsidRPr="00FE1A45">
        <w:rPr>
          <w:sz w:val="24"/>
          <w:szCs w:val="24"/>
          <w:lang w:val="en-US"/>
        </w:rPr>
        <w:t xml:space="preserve">Skin necrosis </w:t>
      </w:r>
    </w:p>
    <w:p w:rsidR="00590670" w:rsidRPr="00FE1A45" w:rsidRDefault="00590670" w:rsidP="00590670">
      <w:pPr>
        <w:pStyle w:val="ListParagraph"/>
        <w:numPr>
          <w:ilvl w:val="0"/>
          <w:numId w:val="10"/>
        </w:numPr>
        <w:rPr>
          <w:sz w:val="24"/>
          <w:szCs w:val="24"/>
          <w:lang w:val="en-US"/>
        </w:rPr>
      </w:pPr>
      <w:proofErr w:type="spellStart"/>
      <w:r w:rsidRPr="00FE1A45">
        <w:rPr>
          <w:sz w:val="24"/>
          <w:szCs w:val="24"/>
          <w:lang w:val="en-US"/>
        </w:rPr>
        <w:t>Hyperkalaemia</w:t>
      </w:r>
      <w:proofErr w:type="spellEnd"/>
      <w:r w:rsidRPr="00FE1A45">
        <w:rPr>
          <w:sz w:val="24"/>
          <w:szCs w:val="24"/>
          <w:lang w:val="en-US"/>
        </w:rPr>
        <w:t xml:space="preserve"> </w:t>
      </w:r>
    </w:p>
    <w:p w:rsidR="00590670" w:rsidRDefault="00660693" w:rsidP="005F42F2">
      <w:pPr>
        <w:rPr>
          <w:b/>
          <w:sz w:val="24"/>
          <w:szCs w:val="24"/>
          <w:lang w:val="en-US"/>
        </w:rPr>
      </w:pPr>
      <w:r>
        <w:br/>
      </w:r>
    </w:p>
    <w:p w:rsidR="005F42F2" w:rsidRDefault="005F42F2" w:rsidP="005F42F2">
      <w:pPr>
        <w:rPr>
          <w:b/>
          <w:sz w:val="24"/>
          <w:szCs w:val="24"/>
          <w:lang w:val="en-US"/>
        </w:rPr>
      </w:pPr>
      <w:r w:rsidRPr="005F42F2">
        <w:rPr>
          <w:b/>
          <w:sz w:val="24"/>
          <w:szCs w:val="24"/>
          <w:lang w:val="en-US"/>
        </w:rPr>
        <w:t>Measuring Anti-</w:t>
      </w:r>
      <w:proofErr w:type="spellStart"/>
      <w:r w:rsidRPr="005F42F2">
        <w:rPr>
          <w:b/>
          <w:sz w:val="24"/>
          <w:szCs w:val="24"/>
          <w:lang w:val="en-US"/>
        </w:rPr>
        <w:t>Xa</w:t>
      </w:r>
      <w:proofErr w:type="spellEnd"/>
      <w:r w:rsidRPr="005F42F2">
        <w:rPr>
          <w:b/>
          <w:sz w:val="24"/>
          <w:szCs w:val="24"/>
          <w:lang w:val="en-US"/>
        </w:rPr>
        <w:t xml:space="preserve"> Activity</w:t>
      </w:r>
    </w:p>
    <w:p w:rsidR="00590670" w:rsidRDefault="00590670" w:rsidP="00590670">
      <w:pPr>
        <w:rPr>
          <w:sz w:val="24"/>
          <w:szCs w:val="24"/>
          <w:lang w:val="en-US"/>
        </w:rPr>
      </w:pPr>
      <w:r>
        <w:rPr>
          <w:sz w:val="24"/>
          <w:szCs w:val="24"/>
          <w:lang w:val="en-US"/>
        </w:rPr>
        <w:t>Routine measurement of Anti-</w:t>
      </w:r>
      <w:proofErr w:type="spellStart"/>
      <w:r>
        <w:rPr>
          <w:sz w:val="24"/>
          <w:szCs w:val="24"/>
          <w:lang w:val="en-US"/>
        </w:rPr>
        <w:t>Xa</w:t>
      </w:r>
      <w:proofErr w:type="spellEnd"/>
      <w:r>
        <w:rPr>
          <w:sz w:val="24"/>
          <w:szCs w:val="24"/>
          <w:lang w:val="en-US"/>
        </w:rPr>
        <w:t xml:space="preserve"> should not be necessary and is indicated only if the dose calculated according to weight and adjusted as given above gives cause for concern due to persistent clotting or prolonged bleeding.</w:t>
      </w:r>
    </w:p>
    <w:p w:rsidR="005F42F2" w:rsidRDefault="005F42F2" w:rsidP="005F42F2">
      <w:pPr>
        <w:rPr>
          <w:sz w:val="24"/>
          <w:szCs w:val="24"/>
          <w:lang w:val="en-US"/>
        </w:rPr>
      </w:pPr>
      <w:r>
        <w:rPr>
          <w:sz w:val="24"/>
          <w:szCs w:val="24"/>
          <w:lang w:val="en-US"/>
        </w:rPr>
        <w:t xml:space="preserve">Dalteparin potentiates the inhibition of several activated coagulation factors, especially Factor </w:t>
      </w:r>
      <w:proofErr w:type="spellStart"/>
      <w:r>
        <w:rPr>
          <w:sz w:val="24"/>
          <w:szCs w:val="24"/>
          <w:lang w:val="en-US"/>
        </w:rPr>
        <w:t>Xa</w:t>
      </w:r>
      <w:proofErr w:type="spellEnd"/>
      <w:r>
        <w:rPr>
          <w:sz w:val="24"/>
          <w:szCs w:val="24"/>
          <w:lang w:val="en-US"/>
        </w:rPr>
        <w:t xml:space="preserve"> with its activity mediated via </w:t>
      </w:r>
      <w:proofErr w:type="spellStart"/>
      <w:r>
        <w:rPr>
          <w:sz w:val="24"/>
          <w:szCs w:val="24"/>
          <w:lang w:val="en-US"/>
        </w:rPr>
        <w:t>antithrombin</w:t>
      </w:r>
      <w:proofErr w:type="spellEnd"/>
      <w:r>
        <w:rPr>
          <w:sz w:val="24"/>
          <w:szCs w:val="24"/>
          <w:lang w:val="en-US"/>
        </w:rPr>
        <w:t xml:space="preserve"> III. The half-life of elimination of anti </w:t>
      </w:r>
      <w:proofErr w:type="spellStart"/>
      <w:r>
        <w:rPr>
          <w:sz w:val="24"/>
          <w:szCs w:val="24"/>
          <w:lang w:val="en-US"/>
        </w:rPr>
        <w:t>Xa</w:t>
      </w:r>
      <w:proofErr w:type="spellEnd"/>
      <w:r>
        <w:rPr>
          <w:sz w:val="24"/>
          <w:szCs w:val="24"/>
          <w:lang w:val="en-US"/>
        </w:rPr>
        <w:t xml:space="preserve"> activity is approximately 2 hours with intravenous dosing in patients with normal renal function.  The half-life has been reported to be around 5 hours in haemodialysis patients following intravenous dosing. </w:t>
      </w:r>
    </w:p>
    <w:p w:rsidR="005F42F2" w:rsidRDefault="005F42F2" w:rsidP="005F42F2">
      <w:pPr>
        <w:rPr>
          <w:sz w:val="24"/>
          <w:szCs w:val="24"/>
          <w:lang w:val="en-US"/>
        </w:rPr>
      </w:pPr>
      <w:r>
        <w:rPr>
          <w:sz w:val="24"/>
          <w:szCs w:val="24"/>
          <w:lang w:val="en-US"/>
        </w:rPr>
        <w:t>Anti-</w:t>
      </w:r>
      <w:proofErr w:type="spellStart"/>
      <w:r>
        <w:rPr>
          <w:sz w:val="24"/>
          <w:szCs w:val="24"/>
          <w:lang w:val="en-US"/>
        </w:rPr>
        <w:t>Xa</w:t>
      </w:r>
      <w:proofErr w:type="spellEnd"/>
      <w:r>
        <w:rPr>
          <w:sz w:val="24"/>
          <w:szCs w:val="24"/>
          <w:lang w:val="en-US"/>
        </w:rPr>
        <w:t xml:space="preserve"> activity is measured at one hour and 4 hours post Dalteparin administration at the start of a dialysis sessions.</w:t>
      </w:r>
    </w:p>
    <w:p w:rsidR="00A115BC" w:rsidRDefault="00A115BC" w:rsidP="005F42F2">
      <w:pPr>
        <w:rPr>
          <w:sz w:val="24"/>
          <w:szCs w:val="24"/>
          <w:lang w:val="en-US"/>
        </w:rPr>
      </w:pPr>
    </w:p>
    <w:p w:rsidR="00A115BC" w:rsidRDefault="005F42F2" w:rsidP="005F42F2">
      <w:pPr>
        <w:rPr>
          <w:sz w:val="24"/>
          <w:szCs w:val="24"/>
          <w:lang w:val="en-US"/>
        </w:rPr>
      </w:pPr>
      <w:r>
        <w:rPr>
          <w:sz w:val="24"/>
          <w:szCs w:val="24"/>
          <w:lang w:val="en-US"/>
        </w:rPr>
        <w:lastRenderedPageBreak/>
        <w:t xml:space="preserve">Anti </w:t>
      </w:r>
      <w:proofErr w:type="spellStart"/>
      <w:r>
        <w:rPr>
          <w:sz w:val="24"/>
          <w:szCs w:val="24"/>
          <w:lang w:val="en-US"/>
        </w:rPr>
        <w:t>Xa</w:t>
      </w:r>
      <w:proofErr w:type="spellEnd"/>
      <w:r>
        <w:rPr>
          <w:sz w:val="24"/>
          <w:szCs w:val="24"/>
          <w:lang w:val="en-US"/>
        </w:rPr>
        <w:t xml:space="preserve"> activity level should be between 0.4 to 0.7units/ml at 1 hour and less than 0.4units/ml at 4 hours.</w:t>
      </w:r>
    </w:p>
    <w:p w:rsidR="005F42F2" w:rsidRDefault="00A115BC" w:rsidP="005F42F2">
      <w:pPr>
        <w:rPr>
          <w:sz w:val="24"/>
          <w:szCs w:val="24"/>
          <w:lang w:val="en-US"/>
        </w:rPr>
      </w:pPr>
      <w:r>
        <w:rPr>
          <w:sz w:val="24"/>
          <w:szCs w:val="24"/>
          <w:lang w:val="en-US"/>
        </w:rPr>
        <w:t>If the anti-</w:t>
      </w:r>
      <w:proofErr w:type="spellStart"/>
      <w:r>
        <w:rPr>
          <w:sz w:val="24"/>
          <w:szCs w:val="24"/>
          <w:lang w:val="en-US"/>
        </w:rPr>
        <w:t>Xa</w:t>
      </w:r>
      <w:proofErr w:type="spellEnd"/>
      <w:r>
        <w:rPr>
          <w:sz w:val="24"/>
          <w:szCs w:val="24"/>
          <w:lang w:val="en-US"/>
        </w:rPr>
        <w:t xml:space="preserve"> level is above or below </w:t>
      </w:r>
      <w:r w:rsidR="005F42F2">
        <w:rPr>
          <w:sz w:val="24"/>
          <w:szCs w:val="24"/>
          <w:lang w:val="en-US"/>
        </w:rPr>
        <w:t xml:space="preserve">the target range, discuss with the medical team </w:t>
      </w:r>
      <w:r>
        <w:rPr>
          <w:sz w:val="24"/>
          <w:szCs w:val="24"/>
          <w:lang w:val="en-US"/>
        </w:rPr>
        <w:t xml:space="preserve">(renal registrar/renal consultant) regarding a dose change of </w:t>
      </w:r>
      <w:proofErr w:type="spellStart"/>
      <w:r>
        <w:rPr>
          <w:sz w:val="24"/>
          <w:szCs w:val="24"/>
          <w:lang w:val="en-US"/>
        </w:rPr>
        <w:t>dalteparin</w:t>
      </w:r>
      <w:proofErr w:type="spellEnd"/>
      <w:r>
        <w:rPr>
          <w:sz w:val="24"/>
          <w:szCs w:val="24"/>
          <w:lang w:val="en-US"/>
        </w:rPr>
        <w:t xml:space="preserve"> </w:t>
      </w:r>
    </w:p>
    <w:p w:rsidR="005F42F2" w:rsidRDefault="005F42F2" w:rsidP="005F42F2">
      <w:pPr>
        <w:rPr>
          <w:sz w:val="24"/>
          <w:szCs w:val="24"/>
          <w:lang w:val="en-US"/>
        </w:rPr>
      </w:pPr>
    </w:p>
    <w:p w:rsidR="005F42F2" w:rsidRPr="005F42F2" w:rsidRDefault="005F42F2" w:rsidP="005F42F2">
      <w:pPr>
        <w:rPr>
          <w:b/>
          <w:sz w:val="24"/>
          <w:szCs w:val="24"/>
          <w:lang w:val="en-US"/>
        </w:rPr>
      </w:pPr>
      <w:r w:rsidRPr="005F42F2">
        <w:rPr>
          <w:b/>
          <w:sz w:val="24"/>
          <w:szCs w:val="24"/>
          <w:lang w:val="en-US"/>
        </w:rPr>
        <w:t>Reversal of Dalteparin</w:t>
      </w:r>
    </w:p>
    <w:p w:rsidR="005F42F2" w:rsidRDefault="00A115BC" w:rsidP="005F42F2">
      <w:pPr>
        <w:rPr>
          <w:sz w:val="24"/>
          <w:szCs w:val="24"/>
          <w:lang w:val="en-US"/>
        </w:rPr>
      </w:pPr>
      <w:r>
        <w:rPr>
          <w:sz w:val="24"/>
          <w:szCs w:val="24"/>
          <w:lang w:val="en-US"/>
        </w:rPr>
        <w:t xml:space="preserve">If severe bleeding occurs during or within 2 hour of completing a dialysis session with </w:t>
      </w:r>
      <w:proofErr w:type="spellStart"/>
      <w:r>
        <w:rPr>
          <w:sz w:val="24"/>
          <w:szCs w:val="24"/>
          <w:lang w:val="en-US"/>
        </w:rPr>
        <w:t>dalteparin</w:t>
      </w:r>
      <w:proofErr w:type="spellEnd"/>
      <w:r>
        <w:rPr>
          <w:sz w:val="24"/>
          <w:szCs w:val="24"/>
          <w:lang w:val="en-US"/>
        </w:rPr>
        <w:t xml:space="preserve"> consider the use of </w:t>
      </w:r>
      <w:proofErr w:type="spellStart"/>
      <w:r>
        <w:rPr>
          <w:b/>
          <w:sz w:val="24"/>
          <w:szCs w:val="24"/>
          <w:lang w:val="en-US"/>
        </w:rPr>
        <w:t>p</w:t>
      </w:r>
      <w:r w:rsidR="005F42F2" w:rsidRPr="005F42F2">
        <w:rPr>
          <w:b/>
          <w:sz w:val="24"/>
          <w:szCs w:val="24"/>
          <w:lang w:val="en-US"/>
        </w:rPr>
        <w:t>rotamine</w:t>
      </w:r>
      <w:proofErr w:type="spellEnd"/>
      <w:r w:rsidR="005F42F2" w:rsidRPr="005F42F2">
        <w:rPr>
          <w:b/>
          <w:sz w:val="24"/>
          <w:szCs w:val="24"/>
          <w:lang w:val="en-US"/>
        </w:rPr>
        <w:t xml:space="preserve"> </w:t>
      </w:r>
      <w:proofErr w:type="spellStart"/>
      <w:r w:rsidR="005F42F2" w:rsidRPr="005F42F2">
        <w:rPr>
          <w:b/>
          <w:sz w:val="24"/>
          <w:szCs w:val="24"/>
          <w:lang w:val="en-US"/>
        </w:rPr>
        <w:t>sulphate</w:t>
      </w:r>
      <w:proofErr w:type="spellEnd"/>
      <w:r w:rsidR="005F42F2">
        <w:rPr>
          <w:sz w:val="24"/>
          <w:szCs w:val="24"/>
          <w:lang w:val="en-US"/>
        </w:rPr>
        <w:t xml:space="preserve"> </w:t>
      </w:r>
      <w:r>
        <w:rPr>
          <w:sz w:val="24"/>
          <w:szCs w:val="24"/>
          <w:lang w:val="en-US"/>
        </w:rPr>
        <w:t xml:space="preserve">as a reversal agent for </w:t>
      </w:r>
      <w:proofErr w:type="spellStart"/>
      <w:r>
        <w:rPr>
          <w:sz w:val="24"/>
          <w:szCs w:val="24"/>
          <w:lang w:val="en-US"/>
        </w:rPr>
        <w:t>dalteparin</w:t>
      </w:r>
      <w:proofErr w:type="spellEnd"/>
      <w:r w:rsidR="005F42F2">
        <w:rPr>
          <w:sz w:val="24"/>
          <w:szCs w:val="24"/>
          <w:lang w:val="en-US"/>
        </w:rPr>
        <w:t xml:space="preserve">.  </w:t>
      </w:r>
    </w:p>
    <w:p w:rsidR="005F42F2" w:rsidRDefault="005F42F2" w:rsidP="005F42F2">
      <w:pPr>
        <w:rPr>
          <w:sz w:val="24"/>
          <w:szCs w:val="24"/>
          <w:lang w:val="en-US"/>
        </w:rPr>
      </w:pPr>
      <w:r>
        <w:rPr>
          <w:sz w:val="24"/>
          <w:szCs w:val="24"/>
          <w:lang w:val="en-US"/>
        </w:rPr>
        <w:t xml:space="preserve">If given intravenously </w:t>
      </w:r>
      <w:proofErr w:type="spellStart"/>
      <w:r>
        <w:rPr>
          <w:sz w:val="24"/>
          <w:szCs w:val="24"/>
          <w:lang w:val="en-US"/>
        </w:rPr>
        <w:t>protamine</w:t>
      </w:r>
      <w:proofErr w:type="spellEnd"/>
      <w:r>
        <w:rPr>
          <w:sz w:val="24"/>
          <w:szCs w:val="24"/>
          <w:lang w:val="en-US"/>
        </w:rPr>
        <w:t xml:space="preserve"> will </w:t>
      </w:r>
      <w:proofErr w:type="spellStart"/>
      <w:r>
        <w:rPr>
          <w:sz w:val="24"/>
          <w:szCs w:val="24"/>
          <w:lang w:val="en-US"/>
        </w:rPr>
        <w:t>neutralise</w:t>
      </w:r>
      <w:proofErr w:type="spellEnd"/>
      <w:r>
        <w:rPr>
          <w:sz w:val="24"/>
          <w:szCs w:val="24"/>
          <w:lang w:val="en-US"/>
        </w:rPr>
        <w:t xml:space="preserve"> 25 to 50% of anti-</w:t>
      </w:r>
      <w:proofErr w:type="spellStart"/>
      <w:r>
        <w:rPr>
          <w:sz w:val="24"/>
          <w:szCs w:val="24"/>
          <w:lang w:val="en-US"/>
        </w:rPr>
        <w:t>Xa</w:t>
      </w:r>
      <w:proofErr w:type="spellEnd"/>
      <w:r>
        <w:rPr>
          <w:sz w:val="24"/>
          <w:szCs w:val="24"/>
          <w:lang w:val="en-US"/>
        </w:rPr>
        <w:t xml:space="preserve"> activity of </w:t>
      </w:r>
      <w:proofErr w:type="spellStart"/>
      <w:r w:rsidR="00A115BC">
        <w:rPr>
          <w:sz w:val="24"/>
          <w:szCs w:val="24"/>
          <w:lang w:val="en-US"/>
        </w:rPr>
        <w:t>d</w:t>
      </w:r>
      <w:r w:rsidR="005908C7">
        <w:rPr>
          <w:sz w:val="24"/>
          <w:szCs w:val="24"/>
          <w:lang w:val="en-US"/>
        </w:rPr>
        <w:t>alteparin</w:t>
      </w:r>
      <w:proofErr w:type="spellEnd"/>
      <w:r>
        <w:rPr>
          <w:sz w:val="24"/>
          <w:szCs w:val="24"/>
          <w:lang w:val="en-US"/>
        </w:rPr>
        <w:t xml:space="preserve"> almost immediately. </w:t>
      </w:r>
    </w:p>
    <w:p w:rsidR="005F42F2" w:rsidRDefault="00A115BC" w:rsidP="005F42F2">
      <w:pPr>
        <w:rPr>
          <w:sz w:val="24"/>
          <w:szCs w:val="24"/>
          <w:lang w:val="en-US"/>
        </w:rPr>
      </w:pPr>
      <w:r>
        <w:rPr>
          <w:sz w:val="24"/>
          <w:szCs w:val="24"/>
          <w:lang w:val="en-US"/>
        </w:rPr>
        <w:t>A dose of 1mg per 100 units of LMWH is recommended on the manufacturer’s guidelines. It</w:t>
      </w:r>
      <w:r w:rsidR="005F42F2">
        <w:rPr>
          <w:sz w:val="24"/>
          <w:szCs w:val="24"/>
          <w:lang w:val="en-US"/>
        </w:rPr>
        <w:t xml:space="preserve"> should be given neat at a maximum rate of 5mg per minute</w:t>
      </w:r>
      <w:r>
        <w:rPr>
          <w:sz w:val="24"/>
          <w:szCs w:val="24"/>
          <w:lang w:val="en-US"/>
        </w:rPr>
        <w:t xml:space="preserve">. </w:t>
      </w:r>
      <w:r w:rsidR="005F42F2">
        <w:rPr>
          <w:sz w:val="24"/>
          <w:szCs w:val="24"/>
          <w:lang w:val="en-US"/>
        </w:rPr>
        <w:t>Avoid rapid infusion as this can cause severe hypotension and anaphylactic reactions.</w:t>
      </w:r>
      <w:r w:rsidRPr="00A115BC">
        <w:t xml:space="preserve"> </w:t>
      </w:r>
      <w:r>
        <w:t>The usual maximum dose is 50 mg.</w:t>
      </w:r>
    </w:p>
    <w:p w:rsidR="005908C7" w:rsidRDefault="005908C7"/>
    <w:p w:rsidR="00A115BC" w:rsidRDefault="00A115BC"/>
    <w:p w:rsidR="00A115BC" w:rsidRDefault="00A115BC"/>
    <w:p w:rsidR="00A115BC" w:rsidRDefault="00A115BC"/>
    <w:p w:rsidR="00A115BC" w:rsidRDefault="00A115BC">
      <w:pPr>
        <w:rPr>
          <w:sz w:val="24"/>
          <w:szCs w:val="24"/>
          <w:lang w:val="en-US"/>
        </w:rPr>
      </w:pPr>
    </w:p>
    <w:p w:rsidR="0084358C" w:rsidRDefault="0084358C" w:rsidP="00256685">
      <w:pPr>
        <w:rPr>
          <w:sz w:val="24"/>
          <w:szCs w:val="24"/>
          <w:lang w:val="en-US"/>
        </w:rPr>
      </w:pPr>
    </w:p>
    <w:p w:rsidR="00AB5C9F" w:rsidRDefault="00AB5C9F" w:rsidP="00256685">
      <w:pPr>
        <w:rPr>
          <w:sz w:val="24"/>
          <w:szCs w:val="24"/>
          <w:lang w:val="en-US"/>
        </w:rPr>
      </w:pPr>
    </w:p>
    <w:p w:rsidR="00660693" w:rsidRDefault="00660693" w:rsidP="00256685">
      <w:pPr>
        <w:rPr>
          <w:sz w:val="24"/>
          <w:szCs w:val="24"/>
          <w:lang w:val="en-US"/>
        </w:rPr>
      </w:pPr>
    </w:p>
    <w:p w:rsidR="00FE0B6C" w:rsidRDefault="00FE0B6C" w:rsidP="00256685">
      <w:pPr>
        <w:rPr>
          <w:sz w:val="24"/>
          <w:szCs w:val="24"/>
          <w:lang w:val="en-US"/>
        </w:rPr>
      </w:pPr>
    </w:p>
    <w:p w:rsidR="00C76A3B" w:rsidRDefault="00C76A3B" w:rsidP="00256685">
      <w:pPr>
        <w:rPr>
          <w:sz w:val="24"/>
          <w:szCs w:val="24"/>
          <w:lang w:val="en-US"/>
        </w:rPr>
      </w:pPr>
    </w:p>
    <w:p w:rsidR="00C76A3B" w:rsidRDefault="00C76A3B" w:rsidP="00256685">
      <w:pPr>
        <w:rPr>
          <w:sz w:val="24"/>
          <w:szCs w:val="24"/>
          <w:lang w:val="en-US"/>
        </w:rPr>
      </w:pPr>
    </w:p>
    <w:p w:rsidR="002800D5" w:rsidRDefault="002800D5">
      <w:pPr>
        <w:rPr>
          <w:sz w:val="24"/>
          <w:szCs w:val="24"/>
          <w:lang w:val="en-US"/>
        </w:rPr>
      </w:pPr>
    </w:p>
    <w:p w:rsidR="00482376" w:rsidRDefault="00482376">
      <w:pPr>
        <w:rPr>
          <w:sz w:val="24"/>
          <w:szCs w:val="24"/>
          <w:lang w:val="en-US"/>
        </w:rPr>
      </w:pPr>
    </w:p>
    <w:p w:rsidR="00482376" w:rsidRDefault="00482376">
      <w:pPr>
        <w:rPr>
          <w:sz w:val="24"/>
          <w:szCs w:val="24"/>
          <w:lang w:val="en-US"/>
        </w:rPr>
      </w:pPr>
    </w:p>
    <w:p w:rsidR="00E23F0C" w:rsidRPr="005F42F2" w:rsidRDefault="00E23F0C" w:rsidP="005F42F2">
      <w:pPr>
        <w:rPr>
          <w:sz w:val="24"/>
          <w:szCs w:val="24"/>
          <w:lang w:val="en-US"/>
        </w:rPr>
      </w:pPr>
    </w:p>
    <w:sectPr w:rsidR="00E23F0C" w:rsidRPr="005F42F2" w:rsidSect="004823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D8" w:rsidRDefault="00336DD8" w:rsidP="00482376">
      <w:pPr>
        <w:spacing w:after="0" w:line="240" w:lineRule="auto"/>
      </w:pPr>
      <w:r>
        <w:separator/>
      </w:r>
    </w:p>
  </w:endnote>
  <w:endnote w:type="continuationSeparator" w:id="0">
    <w:p w:rsidR="00336DD8" w:rsidRDefault="00336DD8" w:rsidP="0048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5F" w:rsidRDefault="004B575F">
    <w:pPr>
      <w:pStyle w:val="Footer"/>
    </w:pPr>
    <w:r>
      <w:t>Author:</w:t>
    </w:r>
    <w:r w:rsidR="00590670">
      <w:t xml:space="preserve"> Renal Unit, RIE</w:t>
    </w:r>
    <w:r>
      <w:tab/>
      <w:t>Date Written:</w:t>
    </w:r>
    <w:r w:rsidR="00590670">
      <w:t xml:space="preserve"> August 2021</w:t>
    </w:r>
    <w:r>
      <w:tab/>
      <w:t>Review date:</w:t>
    </w:r>
    <w:r w:rsidR="00590670">
      <w:t xml:space="preserve"> August 2023</w:t>
    </w:r>
  </w:p>
  <w:p w:rsidR="004B575F" w:rsidRDefault="004B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D8" w:rsidRDefault="00336DD8" w:rsidP="00482376">
      <w:pPr>
        <w:spacing w:after="0" w:line="240" w:lineRule="auto"/>
      </w:pPr>
      <w:r>
        <w:separator/>
      </w:r>
    </w:p>
  </w:footnote>
  <w:footnote w:type="continuationSeparator" w:id="0">
    <w:p w:rsidR="00336DD8" w:rsidRDefault="00336DD8" w:rsidP="00482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5F" w:rsidRDefault="004B575F">
    <w:pPr>
      <w:pStyle w:val="Header"/>
    </w:pPr>
    <w:r>
      <w:rPr>
        <w:noProof/>
        <w:lang w:eastAsia="en-GB"/>
      </w:rPr>
      <w:drawing>
        <wp:inline distT="0" distB="0" distL="0" distR="0">
          <wp:extent cx="8255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_2col.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5500" cy="714375"/>
                  </a:xfrm>
                  <a:prstGeom prst="rect">
                    <a:avLst/>
                  </a:prstGeom>
                </pic:spPr>
              </pic:pic>
            </a:graphicData>
          </a:graphic>
        </wp:inline>
      </w:drawing>
    </w:r>
  </w:p>
  <w:p w:rsidR="004B575F" w:rsidRDefault="004B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3FC1"/>
    <w:multiLevelType w:val="hybridMultilevel"/>
    <w:tmpl w:val="57720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234E6"/>
    <w:multiLevelType w:val="hybridMultilevel"/>
    <w:tmpl w:val="18B8D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C51F8"/>
    <w:multiLevelType w:val="hybridMultilevel"/>
    <w:tmpl w:val="C9BC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D7FA6"/>
    <w:multiLevelType w:val="hybridMultilevel"/>
    <w:tmpl w:val="87CC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D30C8"/>
    <w:multiLevelType w:val="hybridMultilevel"/>
    <w:tmpl w:val="29B6A5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42A30"/>
    <w:multiLevelType w:val="hybridMultilevel"/>
    <w:tmpl w:val="544C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C76F7"/>
    <w:multiLevelType w:val="hybridMultilevel"/>
    <w:tmpl w:val="8CCC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359F9"/>
    <w:multiLevelType w:val="hybridMultilevel"/>
    <w:tmpl w:val="F9C6B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0F82682"/>
    <w:multiLevelType w:val="hybridMultilevel"/>
    <w:tmpl w:val="52F2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F96A63"/>
    <w:multiLevelType w:val="hybridMultilevel"/>
    <w:tmpl w:val="6C82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5E0061"/>
    <w:multiLevelType w:val="hybridMultilevel"/>
    <w:tmpl w:val="339A2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C7288F"/>
    <w:multiLevelType w:val="hybridMultilevel"/>
    <w:tmpl w:val="B8261CEC"/>
    <w:lvl w:ilvl="0" w:tplc="360E06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4"/>
  </w:num>
  <w:num w:numId="6">
    <w:abstractNumId w:val="11"/>
  </w:num>
  <w:num w:numId="7">
    <w:abstractNumId w:val="3"/>
  </w:num>
  <w:num w:numId="8">
    <w:abstractNumId w:val="5"/>
  </w:num>
  <w:num w:numId="9">
    <w:abstractNumId w:val="9"/>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D60F0"/>
    <w:rsid w:val="00075B3F"/>
    <w:rsid w:val="000C239F"/>
    <w:rsid w:val="00132FA3"/>
    <w:rsid w:val="001E5058"/>
    <w:rsid w:val="00256685"/>
    <w:rsid w:val="002800D5"/>
    <w:rsid w:val="002D60F0"/>
    <w:rsid w:val="002F71FD"/>
    <w:rsid w:val="003320FA"/>
    <w:rsid w:val="00336DD8"/>
    <w:rsid w:val="004300FB"/>
    <w:rsid w:val="00482376"/>
    <w:rsid w:val="004A4BF5"/>
    <w:rsid w:val="004B575F"/>
    <w:rsid w:val="004F0858"/>
    <w:rsid w:val="0051054A"/>
    <w:rsid w:val="00573DC2"/>
    <w:rsid w:val="00590670"/>
    <w:rsid w:val="005908C7"/>
    <w:rsid w:val="005B1762"/>
    <w:rsid w:val="005F42F2"/>
    <w:rsid w:val="00630743"/>
    <w:rsid w:val="00660693"/>
    <w:rsid w:val="0069190B"/>
    <w:rsid w:val="006A3C4E"/>
    <w:rsid w:val="006C2E6D"/>
    <w:rsid w:val="00715873"/>
    <w:rsid w:val="007E4ED4"/>
    <w:rsid w:val="0084358C"/>
    <w:rsid w:val="008B4291"/>
    <w:rsid w:val="0094007A"/>
    <w:rsid w:val="00A115BC"/>
    <w:rsid w:val="00A25904"/>
    <w:rsid w:val="00A558F5"/>
    <w:rsid w:val="00A572FC"/>
    <w:rsid w:val="00A615FB"/>
    <w:rsid w:val="00AB5C9F"/>
    <w:rsid w:val="00AC501A"/>
    <w:rsid w:val="00B75EEB"/>
    <w:rsid w:val="00B86807"/>
    <w:rsid w:val="00BA68DE"/>
    <w:rsid w:val="00BB3733"/>
    <w:rsid w:val="00C76A3B"/>
    <w:rsid w:val="00CF5B63"/>
    <w:rsid w:val="00DC6743"/>
    <w:rsid w:val="00E23F0C"/>
    <w:rsid w:val="00E459B6"/>
    <w:rsid w:val="00E9596D"/>
    <w:rsid w:val="00FE0B6C"/>
    <w:rsid w:val="00FE1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85"/>
    <w:pPr>
      <w:ind w:left="720"/>
      <w:contextualSpacing/>
    </w:pPr>
  </w:style>
  <w:style w:type="paragraph" w:styleId="Header">
    <w:name w:val="header"/>
    <w:basedOn w:val="Normal"/>
    <w:link w:val="HeaderChar"/>
    <w:uiPriority w:val="99"/>
    <w:unhideWhenUsed/>
    <w:rsid w:val="0048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376"/>
  </w:style>
  <w:style w:type="paragraph" w:styleId="Footer">
    <w:name w:val="footer"/>
    <w:basedOn w:val="Normal"/>
    <w:link w:val="FooterChar"/>
    <w:uiPriority w:val="99"/>
    <w:unhideWhenUsed/>
    <w:rsid w:val="0048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376"/>
  </w:style>
  <w:style w:type="paragraph" w:styleId="BalloonText">
    <w:name w:val="Balloon Text"/>
    <w:basedOn w:val="Normal"/>
    <w:link w:val="BalloonTextChar"/>
    <w:uiPriority w:val="99"/>
    <w:semiHidden/>
    <w:unhideWhenUsed/>
    <w:rsid w:val="00FE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45"/>
    <w:rPr>
      <w:rFonts w:ascii="Tahoma" w:hAnsi="Tahoma" w:cs="Tahoma"/>
      <w:sz w:val="16"/>
      <w:szCs w:val="16"/>
    </w:rPr>
  </w:style>
  <w:style w:type="table" w:styleId="TableGrid">
    <w:name w:val="Table Grid"/>
    <w:basedOn w:val="TableNormal"/>
    <w:uiPriority w:val="39"/>
    <w:rsid w:val="00FE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693"/>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Bita</dc:creator>
  <cp:lastModifiedBy>Wendy Metcalfe</cp:lastModifiedBy>
  <cp:revision>3</cp:revision>
  <dcterms:created xsi:type="dcterms:W3CDTF">2021-08-10T14:48:00Z</dcterms:created>
  <dcterms:modified xsi:type="dcterms:W3CDTF">2021-08-30T16:21:00Z</dcterms:modified>
</cp:coreProperties>
</file>