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7"/>
        <w:tblW w:w="9747" w:type="dxa"/>
        <w:tblBorders>
          <w:bottom w:val="single" w:sz="4" w:space="0" w:color="auto"/>
          <w:insideH w:val="single" w:sz="4" w:space="0" w:color="auto"/>
          <w:insideV w:val="single" w:sz="4" w:space="0" w:color="auto"/>
        </w:tblBorders>
        <w:tblLook w:val="01E0"/>
      </w:tblPr>
      <w:tblGrid>
        <w:gridCol w:w="9747"/>
      </w:tblGrid>
      <w:tr w:rsidR="005F044B" w:rsidTr="00F27F20">
        <w:trPr>
          <w:trHeight w:val="1258"/>
        </w:trPr>
        <w:tc>
          <w:tcPr>
            <w:tcW w:w="9747" w:type="dxa"/>
          </w:tcPr>
          <w:p w:rsidR="005F044B" w:rsidRDefault="005F044B" w:rsidP="00972E28">
            <w:pPr>
              <w:rPr>
                <w:rFonts w:ascii="Calibri" w:hAnsi="Calibri" w:cs="Arial"/>
                <w:sz w:val="28"/>
                <w:szCs w:val="28"/>
              </w:rPr>
            </w:pPr>
            <w:r>
              <w:rPr>
                <w:rFonts w:ascii="Calibri" w:hAnsi="Calibri" w:cs="Arial"/>
                <w:sz w:val="28"/>
                <w:szCs w:val="28"/>
              </w:rPr>
              <w:t>Renal Directorate Guidelines</w:t>
            </w:r>
          </w:p>
          <w:p w:rsidR="005F044B" w:rsidRPr="00972E28" w:rsidRDefault="005F044B" w:rsidP="00F27F20">
            <w:pPr>
              <w:ind w:right="-433"/>
              <w:rPr>
                <w:rFonts w:ascii="Calibri" w:hAnsi="Calibri" w:cs="Arial"/>
                <w:sz w:val="28"/>
                <w:szCs w:val="28"/>
              </w:rPr>
            </w:pPr>
            <w:r>
              <w:rPr>
                <w:rFonts w:ascii="Calibri" w:hAnsi="Calibri" w:cs="Arial"/>
                <w:sz w:val="28"/>
                <w:szCs w:val="28"/>
              </w:rPr>
              <w:t>Royal Infirmary of Edinburgh</w:t>
            </w:r>
          </w:p>
        </w:tc>
      </w:tr>
    </w:tbl>
    <w:p w:rsidR="005F044B" w:rsidRDefault="00F27F20" w:rsidP="00F27F20">
      <w:pPr>
        <w:ind w:left="-142"/>
        <w:rPr>
          <w:rFonts w:ascii="Calibri" w:hAnsi="Calibri" w:cs="Arial"/>
          <w:b/>
          <w:sz w:val="32"/>
          <w:szCs w:val="32"/>
        </w:rPr>
      </w:pPr>
      <w:r>
        <w:rPr>
          <w:rFonts w:ascii="Calibri" w:hAnsi="Calibri" w:cs="Arial"/>
          <w:b/>
          <w:noProof/>
          <w:sz w:val="32"/>
          <w:szCs w:val="32"/>
          <w:lang w:eastAsia="en-GB"/>
        </w:rPr>
        <w:drawing>
          <wp:anchor distT="0" distB="0" distL="114300" distR="114300" simplePos="0" relativeHeight="251657728" behindDoc="0" locked="0" layoutInCell="1" allowOverlap="1">
            <wp:simplePos x="0" y="0"/>
            <wp:positionH relativeFrom="column">
              <wp:posOffset>5091430</wp:posOffset>
            </wp:positionH>
            <wp:positionV relativeFrom="paragraph">
              <wp:posOffset>-315595</wp:posOffset>
            </wp:positionV>
            <wp:extent cx="876300" cy="691515"/>
            <wp:effectExtent l="19050" t="0" r="0" b="0"/>
            <wp:wrapTight wrapText="bothSides">
              <wp:wrapPolygon edited="0">
                <wp:start x="-470" y="0"/>
                <wp:lineTo x="-470" y="20826"/>
                <wp:lineTo x="21600" y="20826"/>
                <wp:lineTo x="21600" y="0"/>
                <wp:lineTo x="-4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13043" b="8188"/>
                    <a:stretch>
                      <a:fillRect/>
                    </a:stretch>
                  </pic:blipFill>
                  <pic:spPr bwMode="auto">
                    <a:xfrm>
                      <a:off x="0" y="0"/>
                      <a:ext cx="876300" cy="691515"/>
                    </a:xfrm>
                    <a:prstGeom prst="rect">
                      <a:avLst/>
                    </a:prstGeom>
                    <a:noFill/>
                    <a:ln w="9525">
                      <a:noFill/>
                      <a:miter lim="800000"/>
                      <a:headEnd/>
                      <a:tailEnd/>
                    </a:ln>
                  </pic:spPr>
                </pic:pic>
              </a:graphicData>
            </a:graphic>
          </wp:anchor>
        </w:drawing>
      </w:r>
      <w:r w:rsidR="004D6F87">
        <w:rPr>
          <w:rFonts w:ascii="Calibri" w:hAnsi="Calibri" w:cs="Arial"/>
          <w:b/>
          <w:noProof/>
          <w:sz w:val="32"/>
          <w:szCs w:val="32"/>
          <w:lang w:eastAsia="en-GB"/>
        </w:rPr>
        <w:t>Acute Coronary Syndrome Protocol</w:t>
      </w:r>
    </w:p>
    <w:p w:rsidR="00A04FB3" w:rsidRPr="00265B19" w:rsidRDefault="00A04FB3" w:rsidP="00054BAE">
      <w:pPr>
        <w:ind w:left="-142"/>
      </w:pPr>
    </w:p>
    <w:p w:rsidR="004D6F87" w:rsidRPr="004D6F87" w:rsidRDefault="004D6F87" w:rsidP="00054BAE">
      <w:pPr>
        <w:ind w:left="-142"/>
        <w:rPr>
          <w:rFonts w:ascii="Calibri" w:hAnsi="Calibri" w:cs="Arial"/>
          <w:sz w:val="28"/>
          <w:szCs w:val="28"/>
        </w:rPr>
      </w:pPr>
      <w:r w:rsidRPr="004D6F87">
        <w:rPr>
          <w:rFonts w:ascii="Calibri" w:hAnsi="Calibri" w:cs="Arial"/>
          <w:sz w:val="28"/>
          <w:szCs w:val="28"/>
        </w:rPr>
        <w:t xml:space="preserve">Guidelines for the treatment of acute coronary syndromes in patients with </w:t>
      </w:r>
      <w:r w:rsidR="00054BAE">
        <w:rPr>
          <w:rFonts w:ascii="Calibri" w:hAnsi="Calibri" w:cs="Arial"/>
          <w:sz w:val="28"/>
          <w:szCs w:val="28"/>
        </w:rPr>
        <w:t xml:space="preserve">advanced </w:t>
      </w:r>
      <w:r w:rsidRPr="004D6F87">
        <w:rPr>
          <w:rFonts w:ascii="Calibri" w:hAnsi="Calibri" w:cs="Arial"/>
          <w:sz w:val="28"/>
          <w:szCs w:val="28"/>
        </w:rPr>
        <w:t>chronic kidney disease</w:t>
      </w:r>
      <w:r w:rsidR="00054BAE">
        <w:rPr>
          <w:rFonts w:ascii="Calibri" w:hAnsi="Calibri" w:cs="Arial"/>
          <w:sz w:val="28"/>
          <w:szCs w:val="28"/>
        </w:rPr>
        <w:t xml:space="preserve">.  </w:t>
      </w:r>
    </w:p>
    <w:p w:rsidR="004D6F87" w:rsidRPr="004D6F87" w:rsidRDefault="004D6F87" w:rsidP="00054BAE">
      <w:pPr>
        <w:ind w:left="-142"/>
        <w:rPr>
          <w:rFonts w:ascii="Calibri" w:hAnsi="Calibri" w:cs="Arial"/>
          <w:sz w:val="28"/>
          <w:szCs w:val="28"/>
        </w:rPr>
      </w:pPr>
    </w:p>
    <w:p w:rsidR="004D6F87" w:rsidRPr="00054BAE" w:rsidRDefault="004D6F87" w:rsidP="00054BAE">
      <w:pPr>
        <w:ind w:left="-142"/>
        <w:rPr>
          <w:rFonts w:ascii="Calibri" w:hAnsi="Calibri" w:cs="Arial"/>
          <w:b/>
          <w:sz w:val="28"/>
          <w:szCs w:val="28"/>
        </w:rPr>
      </w:pPr>
      <w:r w:rsidRPr="00054BAE">
        <w:rPr>
          <w:rFonts w:ascii="Calibri" w:hAnsi="Calibri" w:cs="Arial"/>
          <w:b/>
          <w:sz w:val="28"/>
          <w:szCs w:val="28"/>
        </w:rPr>
        <w:t>Scope of this guidance:</w:t>
      </w:r>
    </w:p>
    <w:p w:rsidR="004D6F87" w:rsidRPr="004D6F87" w:rsidRDefault="004D6F87" w:rsidP="00054BAE">
      <w:pPr>
        <w:ind w:left="-142"/>
        <w:rPr>
          <w:rFonts w:ascii="Calibri" w:hAnsi="Calibri" w:cs="Arial"/>
          <w:sz w:val="28"/>
          <w:szCs w:val="28"/>
        </w:rPr>
      </w:pPr>
      <w:r w:rsidRPr="004D6F87">
        <w:rPr>
          <w:rFonts w:ascii="Calibri" w:hAnsi="Calibri" w:cs="Arial"/>
          <w:sz w:val="28"/>
          <w:szCs w:val="28"/>
        </w:rPr>
        <w:t>Many medications, including those used to treat acute coronary syndromes, are either contraindicated or need dose adjustment when patients have impaired renal function.  This guideline has been produced to supplement the NHS Lothian ACS protocol and is to be used for patients with renal impairment.</w:t>
      </w:r>
    </w:p>
    <w:p w:rsidR="004D6F87" w:rsidRPr="004D6F87" w:rsidRDefault="004D6F87" w:rsidP="00054BAE">
      <w:pPr>
        <w:ind w:left="-142"/>
        <w:rPr>
          <w:rFonts w:ascii="Calibri" w:hAnsi="Calibri" w:cs="Arial"/>
          <w:sz w:val="28"/>
          <w:szCs w:val="28"/>
        </w:rPr>
      </w:pPr>
    </w:p>
    <w:p w:rsidR="004D6F87" w:rsidRDefault="004D6F87" w:rsidP="00054BAE">
      <w:pPr>
        <w:ind w:left="-142"/>
        <w:rPr>
          <w:rFonts w:ascii="Calibri" w:hAnsi="Calibri" w:cs="Arial"/>
          <w:sz w:val="28"/>
          <w:szCs w:val="28"/>
        </w:rPr>
      </w:pPr>
      <w:r w:rsidRPr="004D6F87">
        <w:rPr>
          <w:rFonts w:ascii="Calibri" w:hAnsi="Calibri" w:cs="Arial"/>
          <w:sz w:val="28"/>
          <w:szCs w:val="28"/>
        </w:rPr>
        <w:t xml:space="preserve">Immediate management of acute coronary syndromes and decisions as to whether interventional management is required should still be taken in conjunction with the cardiology team as they would be for the general population. </w:t>
      </w:r>
    </w:p>
    <w:p w:rsidR="00054BAE" w:rsidRDefault="00054BAE" w:rsidP="00054BAE">
      <w:pPr>
        <w:ind w:left="-142"/>
        <w:rPr>
          <w:rFonts w:ascii="Calibri" w:hAnsi="Calibri" w:cs="Arial"/>
          <w:sz w:val="28"/>
          <w:szCs w:val="28"/>
        </w:rPr>
      </w:pPr>
    </w:p>
    <w:p w:rsidR="00054BAE" w:rsidRPr="004D6F87" w:rsidRDefault="00054BAE" w:rsidP="00054BAE">
      <w:pPr>
        <w:ind w:left="-142"/>
        <w:rPr>
          <w:rFonts w:ascii="Calibri" w:hAnsi="Calibri" w:cs="Arial"/>
          <w:sz w:val="28"/>
          <w:szCs w:val="28"/>
        </w:rPr>
      </w:pPr>
    </w:p>
    <w:p w:rsidR="004D6F87" w:rsidRPr="00054BAE" w:rsidRDefault="004D6F87" w:rsidP="00054BAE">
      <w:pPr>
        <w:ind w:left="-142"/>
        <w:rPr>
          <w:rFonts w:ascii="Calibri" w:hAnsi="Calibri" w:cs="Arial"/>
          <w:b/>
          <w:sz w:val="28"/>
          <w:szCs w:val="28"/>
        </w:rPr>
      </w:pPr>
      <w:r w:rsidRPr="00054BAE">
        <w:rPr>
          <w:rFonts w:ascii="Calibri" w:hAnsi="Calibri" w:cs="Arial"/>
          <w:b/>
          <w:sz w:val="28"/>
          <w:szCs w:val="28"/>
        </w:rPr>
        <w:t>Medications for immediate management of acute coronary syndromes in chronic kidney disease patients:</w:t>
      </w:r>
    </w:p>
    <w:p w:rsidR="004D6F87" w:rsidRPr="004D6F87" w:rsidRDefault="004D6F87" w:rsidP="00054BAE">
      <w:pPr>
        <w:ind w:left="-142"/>
        <w:rPr>
          <w:rFonts w:ascii="Calibri" w:hAnsi="Calibri" w:cs="Arial"/>
          <w:sz w:val="28"/>
          <w:szCs w:val="28"/>
        </w:rPr>
      </w:pPr>
      <w:r w:rsidRPr="004D6F87">
        <w:rPr>
          <w:rFonts w:ascii="Calibri" w:hAnsi="Calibri" w:cs="Arial"/>
          <w:sz w:val="28"/>
          <w:szCs w:val="28"/>
        </w:rPr>
        <w:t>The table below shows which medications are recommended for usage in the treatment of acute coronary syndromes based on a patient’s degree of renal impairment:</w:t>
      </w:r>
    </w:p>
    <w:p w:rsidR="00054BAE" w:rsidRDefault="00054BAE" w:rsidP="00054BAE">
      <w:pPr>
        <w:ind w:left="-142"/>
        <w:rPr>
          <w:rFonts w:ascii="Calibri" w:hAnsi="Calibri" w:cs="Arial"/>
          <w:sz w:val="28"/>
          <w:szCs w:val="28"/>
        </w:rPr>
      </w:pPr>
    </w:p>
    <w:p w:rsidR="00054BAE" w:rsidRDefault="00054BAE">
      <w:pPr>
        <w:rPr>
          <w:rFonts w:ascii="Calibri" w:hAnsi="Calibri" w:cs="Arial"/>
          <w:sz w:val="28"/>
          <w:szCs w:val="28"/>
        </w:rPr>
      </w:pPr>
      <w:r>
        <w:rPr>
          <w:rFonts w:ascii="Calibri" w:hAnsi="Calibri" w:cs="Arial"/>
          <w:sz w:val="28"/>
          <w:szCs w:val="28"/>
        </w:rPr>
        <w:br w:type="page"/>
      </w:r>
    </w:p>
    <w:p w:rsidR="004D6F87" w:rsidRPr="004D6F87" w:rsidRDefault="004D6F87" w:rsidP="00054BAE">
      <w:pPr>
        <w:ind w:left="-142"/>
        <w:rPr>
          <w:rFonts w:ascii="Calibri" w:hAnsi="Calibri" w:cs="Arial"/>
          <w:sz w:val="28"/>
          <w:szCs w:val="28"/>
        </w:rPr>
      </w:pPr>
    </w:p>
    <w:tbl>
      <w:tblPr>
        <w:tblStyle w:val="TableGrid"/>
        <w:tblW w:w="9224" w:type="dxa"/>
        <w:jc w:val="center"/>
        <w:tblInd w:w="-824" w:type="dxa"/>
        <w:tblLayout w:type="fixed"/>
        <w:tblLook w:val="04A0"/>
      </w:tblPr>
      <w:tblGrid>
        <w:gridCol w:w="1092"/>
        <w:gridCol w:w="1701"/>
        <w:gridCol w:w="1961"/>
        <w:gridCol w:w="1490"/>
        <w:gridCol w:w="1490"/>
        <w:gridCol w:w="1490"/>
      </w:tblGrid>
      <w:tr w:rsidR="00054BAE" w:rsidRPr="00C7509F" w:rsidTr="00054BAE">
        <w:trPr>
          <w:trHeight w:val="1134"/>
          <w:jc w:val="center"/>
        </w:trPr>
        <w:tc>
          <w:tcPr>
            <w:tcW w:w="1092" w:type="dxa"/>
          </w:tcPr>
          <w:p w:rsidR="00054BAE" w:rsidRPr="00C7509F" w:rsidRDefault="00054BAE" w:rsidP="00EF6AF5"/>
        </w:tc>
        <w:tc>
          <w:tcPr>
            <w:tcW w:w="1701" w:type="dxa"/>
            <w:vAlign w:val="center"/>
          </w:tcPr>
          <w:p w:rsidR="00054BAE" w:rsidRPr="00054BAE" w:rsidRDefault="00054BAE" w:rsidP="00EF6AF5">
            <w:pPr>
              <w:jc w:val="center"/>
              <w:rPr>
                <w:b/>
              </w:rPr>
            </w:pPr>
            <w:r w:rsidRPr="00054BAE">
              <w:rPr>
                <w:b/>
              </w:rPr>
              <w:t>Aspirin</w:t>
            </w:r>
          </w:p>
        </w:tc>
        <w:tc>
          <w:tcPr>
            <w:tcW w:w="1961" w:type="dxa"/>
            <w:vAlign w:val="center"/>
          </w:tcPr>
          <w:p w:rsidR="00054BAE" w:rsidRPr="00054BAE" w:rsidRDefault="00054BAE" w:rsidP="00EF6AF5">
            <w:pPr>
              <w:jc w:val="center"/>
              <w:rPr>
                <w:b/>
              </w:rPr>
            </w:pPr>
            <w:r w:rsidRPr="00054BAE">
              <w:rPr>
                <w:b/>
              </w:rPr>
              <w:t>Additional anti-platelet</w:t>
            </w:r>
          </w:p>
        </w:tc>
        <w:tc>
          <w:tcPr>
            <w:tcW w:w="1490" w:type="dxa"/>
            <w:vAlign w:val="center"/>
          </w:tcPr>
          <w:p w:rsidR="00054BAE" w:rsidRPr="00054BAE" w:rsidRDefault="00054BAE" w:rsidP="00EF6AF5">
            <w:pPr>
              <w:jc w:val="center"/>
              <w:rPr>
                <w:b/>
              </w:rPr>
            </w:pPr>
            <w:proofErr w:type="spellStart"/>
            <w:r w:rsidRPr="00054BAE">
              <w:rPr>
                <w:b/>
              </w:rPr>
              <w:t>ACEi</w:t>
            </w:r>
            <w:proofErr w:type="spellEnd"/>
          </w:p>
        </w:tc>
        <w:tc>
          <w:tcPr>
            <w:tcW w:w="1490" w:type="dxa"/>
            <w:vAlign w:val="center"/>
          </w:tcPr>
          <w:p w:rsidR="00054BAE" w:rsidRPr="00054BAE" w:rsidRDefault="00054BAE" w:rsidP="00EF6AF5">
            <w:pPr>
              <w:jc w:val="center"/>
              <w:rPr>
                <w:b/>
              </w:rPr>
            </w:pPr>
            <w:r w:rsidRPr="00054BAE">
              <w:rPr>
                <w:b/>
              </w:rPr>
              <w:t>Beta-blocker</w:t>
            </w:r>
          </w:p>
        </w:tc>
        <w:tc>
          <w:tcPr>
            <w:tcW w:w="1490" w:type="dxa"/>
            <w:vAlign w:val="center"/>
          </w:tcPr>
          <w:p w:rsidR="00054BAE" w:rsidRPr="00054BAE" w:rsidRDefault="00054BAE" w:rsidP="00EF6AF5">
            <w:pPr>
              <w:jc w:val="center"/>
              <w:rPr>
                <w:b/>
              </w:rPr>
            </w:pPr>
            <w:proofErr w:type="spellStart"/>
            <w:r w:rsidRPr="00054BAE">
              <w:rPr>
                <w:b/>
              </w:rPr>
              <w:t>Statin</w:t>
            </w:r>
            <w:proofErr w:type="spellEnd"/>
          </w:p>
        </w:tc>
      </w:tr>
      <w:tr w:rsidR="00054BAE" w:rsidRPr="0093564C" w:rsidTr="00054BAE">
        <w:trPr>
          <w:trHeight w:val="3422"/>
          <w:jc w:val="center"/>
        </w:trPr>
        <w:tc>
          <w:tcPr>
            <w:tcW w:w="1092" w:type="dxa"/>
            <w:vAlign w:val="center"/>
          </w:tcPr>
          <w:p w:rsidR="00054BAE" w:rsidRPr="00054BAE" w:rsidRDefault="00054BAE" w:rsidP="00EF6AF5">
            <w:pPr>
              <w:jc w:val="center"/>
              <w:rPr>
                <w:b/>
              </w:rPr>
            </w:pPr>
            <w:proofErr w:type="spellStart"/>
            <w:r w:rsidRPr="00054BAE">
              <w:rPr>
                <w:b/>
              </w:rPr>
              <w:t>eGFR</w:t>
            </w:r>
            <w:proofErr w:type="spellEnd"/>
          </w:p>
          <w:p w:rsidR="00054BAE" w:rsidRPr="00054BAE" w:rsidRDefault="00054BAE" w:rsidP="00EF6AF5">
            <w:pPr>
              <w:jc w:val="center"/>
              <w:rPr>
                <w:b/>
              </w:rPr>
            </w:pPr>
            <w:r w:rsidRPr="00054BAE">
              <w:rPr>
                <w:b/>
              </w:rPr>
              <w:t>30-60</w:t>
            </w:r>
          </w:p>
          <w:p w:rsidR="00054BAE" w:rsidRPr="00054BAE" w:rsidRDefault="00054BAE" w:rsidP="00EF6AF5">
            <w:pPr>
              <w:jc w:val="center"/>
              <w:rPr>
                <w:b/>
              </w:rPr>
            </w:pPr>
          </w:p>
        </w:tc>
        <w:tc>
          <w:tcPr>
            <w:tcW w:w="1701" w:type="dxa"/>
            <w:vMerge w:val="restart"/>
            <w:vAlign w:val="center"/>
          </w:tcPr>
          <w:p w:rsidR="00054BAE" w:rsidRPr="0093564C" w:rsidRDefault="00054BAE" w:rsidP="00EF6AF5">
            <w:pPr>
              <w:jc w:val="center"/>
            </w:pPr>
            <w:r>
              <w:t>A</w:t>
            </w:r>
            <w:r w:rsidRPr="0093564C">
              <w:t xml:space="preserve">spirin </w:t>
            </w:r>
            <w:r>
              <w:t xml:space="preserve">300mg </w:t>
            </w:r>
            <w:r w:rsidRPr="0093564C">
              <w:t>stat.</w:t>
            </w:r>
            <w:r>
              <w:t xml:space="preserve"> then</w:t>
            </w:r>
          </w:p>
          <w:p w:rsidR="00054BAE" w:rsidRPr="0093564C" w:rsidRDefault="00054BAE" w:rsidP="00054BAE">
            <w:pPr>
              <w:jc w:val="center"/>
            </w:pPr>
            <w:r w:rsidRPr="0093564C">
              <w:t xml:space="preserve">75mg </w:t>
            </w:r>
            <w:r>
              <w:t>once daily</w:t>
            </w:r>
          </w:p>
        </w:tc>
        <w:tc>
          <w:tcPr>
            <w:tcW w:w="1961" w:type="dxa"/>
            <w:vMerge w:val="restart"/>
            <w:vAlign w:val="center"/>
          </w:tcPr>
          <w:p w:rsidR="00054BAE" w:rsidRDefault="00054BAE" w:rsidP="00EF6AF5">
            <w:pPr>
              <w:jc w:val="center"/>
            </w:pPr>
            <w:proofErr w:type="spellStart"/>
            <w:r>
              <w:t>Clopidogrel</w:t>
            </w:r>
            <w:proofErr w:type="spellEnd"/>
            <w:r>
              <w:t xml:space="preserve"> 300mg stat. then 75mg once daily for 3 months</w:t>
            </w:r>
          </w:p>
          <w:p w:rsidR="00054BAE" w:rsidRDefault="00054BAE" w:rsidP="00EF6AF5">
            <w:pPr>
              <w:jc w:val="center"/>
            </w:pPr>
          </w:p>
          <w:p w:rsidR="00054BAE" w:rsidRPr="0093564C" w:rsidRDefault="00054BAE" w:rsidP="00EF6AF5">
            <w:pPr>
              <w:jc w:val="center"/>
            </w:pPr>
            <w:r>
              <w:t>See note 1 below</w:t>
            </w:r>
          </w:p>
        </w:tc>
        <w:tc>
          <w:tcPr>
            <w:tcW w:w="1490" w:type="dxa"/>
            <w:vMerge w:val="restart"/>
            <w:vAlign w:val="center"/>
          </w:tcPr>
          <w:p w:rsidR="00054BAE" w:rsidRPr="0093564C" w:rsidRDefault="00054BAE" w:rsidP="00EF6AF5">
            <w:pPr>
              <w:jc w:val="center"/>
            </w:pPr>
            <w:proofErr w:type="spellStart"/>
            <w:r>
              <w:t>Ramipril</w:t>
            </w:r>
            <w:proofErr w:type="spellEnd"/>
            <w:r>
              <w:t xml:space="preserve"> 1.25mg daily</w:t>
            </w:r>
            <w:r w:rsidRPr="0093564C">
              <w:t xml:space="preserve"> if blood pressure allows and K+ not &gt;5.5.  Monitor to ensure </w:t>
            </w:r>
            <w:proofErr w:type="spellStart"/>
            <w:r w:rsidRPr="0093564C">
              <w:t>creat</w:t>
            </w:r>
            <w:proofErr w:type="spellEnd"/>
            <w:r w:rsidRPr="0093564C">
              <w:t xml:space="preserve"> does not rise &gt;30% and K+ is safe.</w:t>
            </w:r>
          </w:p>
        </w:tc>
        <w:tc>
          <w:tcPr>
            <w:tcW w:w="1490" w:type="dxa"/>
            <w:vMerge w:val="restart"/>
            <w:vAlign w:val="center"/>
          </w:tcPr>
          <w:p w:rsidR="00054BAE" w:rsidRPr="0093564C" w:rsidRDefault="00054BAE" w:rsidP="00EF6AF5">
            <w:pPr>
              <w:jc w:val="center"/>
            </w:pPr>
            <w:proofErr w:type="spellStart"/>
            <w:r>
              <w:t>Metoprolol</w:t>
            </w:r>
            <w:proofErr w:type="spellEnd"/>
            <w:r>
              <w:t xml:space="preserve"> 25mg oral</w:t>
            </w:r>
            <w:r w:rsidRPr="0093564C">
              <w:t xml:space="preserve"> stat</w:t>
            </w:r>
            <w:r>
              <w:t xml:space="preserve"> as test dose.</w:t>
            </w:r>
          </w:p>
          <w:p w:rsidR="00054BAE" w:rsidRPr="0093564C" w:rsidRDefault="00054BAE" w:rsidP="00054BAE">
            <w:pPr>
              <w:jc w:val="center"/>
            </w:pPr>
            <w:r>
              <w:t>If tolerated</w:t>
            </w:r>
            <w:r w:rsidRPr="0093564C">
              <w:t xml:space="preserve"> start </w:t>
            </w:r>
            <w:r>
              <w:t>long acting beta-blocker</w:t>
            </w:r>
            <w:r w:rsidRPr="0093564C">
              <w:t xml:space="preserve"> to aim for HR &lt;70/min</w:t>
            </w:r>
            <w:r>
              <w:t xml:space="preserve">.  </w:t>
            </w:r>
            <w:proofErr w:type="spellStart"/>
            <w:r>
              <w:t>Bisoprolol</w:t>
            </w:r>
            <w:proofErr w:type="spellEnd"/>
            <w:r>
              <w:t xml:space="preserve"> is first choice on formulary.</w:t>
            </w:r>
          </w:p>
        </w:tc>
        <w:tc>
          <w:tcPr>
            <w:tcW w:w="1490" w:type="dxa"/>
            <w:vMerge w:val="restart"/>
            <w:vAlign w:val="center"/>
          </w:tcPr>
          <w:p w:rsidR="00054BAE" w:rsidRDefault="00054BAE" w:rsidP="00EF6AF5">
            <w:pPr>
              <w:jc w:val="center"/>
            </w:pPr>
            <w:proofErr w:type="spellStart"/>
            <w:r>
              <w:t>Atorvastatin</w:t>
            </w:r>
            <w:proofErr w:type="spellEnd"/>
            <w:r>
              <w:t xml:space="preserve"> 20mg and check baseline CK + LFTs.</w:t>
            </w:r>
          </w:p>
          <w:p w:rsidR="00054BAE" w:rsidRDefault="00054BAE" w:rsidP="00EF6AF5">
            <w:pPr>
              <w:jc w:val="center"/>
            </w:pPr>
          </w:p>
          <w:p w:rsidR="00054BAE" w:rsidRPr="0093564C" w:rsidRDefault="00054BAE" w:rsidP="00EF6AF5">
            <w:pPr>
              <w:jc w:val="center"/>
            </w:pPr>
            <w:r>
              <w:t xml:space="preserve">If these tests are not adversely affected by the </w:t>
            </w:r>
            <w:proofErr w:type="spellStart"/>
            <w:r>
              <w:t>statin</w:t>
            </w:r>
            <w:proofErr w:type="spellEnd"/>
            <w:r>
              <w:t xml:space="preserve"> increase to 80mg.</w:t>
            </w:r>
          </w:p>
        </w:tc>
      </w:tr>
      <w:tr w:rsidR="00054BAE" w:rsidRPr="0093564C" w:rsidTr="00054BAE">
        <w:trPr>
          <w:trHeight w:val="1134"/>
          <w:jc w:val="center"/>
        </w:trPr>
        <w:tc>
          <w:tcPr>
            <w:tcW w:w="1092" w:type="dxa"/>
            <w:vAlign w:val="center"/>
          </w:tcPr>
          <w:p w:rsidR="00054BAE" w:rsidRPr="00054BAE" w:rsidRDefault="00054BAE" w:rsidP="00EF6AF5">
            <w:pPr>
              <w:jc w:val="center"/>
              <w:rPr>
                <w:b/>
              </w:rPr>
            </w:pPr>
            <w:proofErr w:type="spellStart"/>
            <w:r w:rsidRPr="00054BAE">
              <w:rPr>
                <w:b/>
              </w:rPr>
              <w:t>eGFR</w:t>
            </w:r>
            <w:proofErr w:type="spellEnd"/>
          </w:p>
          <w:p w:rsidR="00054BAE" w:rsidRPr="00054BAE" w:rsidRDefault="00054BAE" w:rsidP="00EF6AF5">
            <w:pPr>
              <w:jc w:val="center"/>
              <w:rPr>
                <w:b/>
              </w:rPr>
            </w:pPr>
            <w:r w:rsidRPr="00054BAE">
              <w:rPr>
                <w:b/>
              </w:rPr>
              <w:t>20-29</w:t>
            </w:r>
          </w:p>
        </w:tc>
        <w:tc>
          <w:tcPr>
            <w:tcW w:w="1701" w:type="dxa"/>
            <w:vMerge/>
            <w:vAlign w:val="center"/>
          </w:tcPr>
          <w:p w:rsidR="00054BAE" w:rsidRPr="0093564C" w:rsidRDefault="00054BAE" w:rsidP="00EF6AF5">
            <w:pPr>
              <w:jc w:val="center"/>
            </w:pPr>
          </w:p>
        </w:tc>
        <w:tc>
          <w:tcPr>
            <w:tcW w:w="1961" w:type="dxa"/>
            <w:vMerge/>
            <w:vAlign w:val="center"/>
          </w:tcPr>
          <w:p w:rsidR="00054BAE" w:rsidRPr="0093564C" w:rsidRDefault="00054BAE" w:rsidP="00EF6AF5">
            <w:pPr>
              <w:jc w:val="center"/>
            </w:pPr>
          </w:p>
        </w:tc>
        <w:tc>
          <w:tcPr>
            <w:tcW w:w="1490" w:type="dxa"/>
            <w:vMerge/>
            <w:vAlign w:val="center"/>
          </w:tcPr>
          <w:p w:rsidR="00054BAE" w:rsidRPr="0093564C" w:rsidRDefault="00054BAE" w:rsidP="00EF6AF5">
            <w:pPr>
              <w:jc w:val="center"/>
            </w:pPr>
          </w:p>
        </w:tc>
        <w:tc>
          <w:tcPr>
            <w:tcW w:w="1490" w:type="dxa"/>
            <w:vMerge/>
            <w:vAlign w:val="center"/>
          </w:tcPr>
          <w:p w:rsidR="00054BAE" w:rsidRPr="0093564C" w:rsidRDefault="00054BAE" w:rsidP="00EF6AF5">
            <w:pPr>
              <w:jc w:val="center"/>
            </w:pPr>
          </w:p>
        </w:tc>
        <w:tc>
          <w:tcPr>
            <w:tcW w:w="1490" w:type="dxa"/>
            <w:vMerge/>
            <w:vAlign w:val="center"/>
          </w:tcPr>
          <w:p w:rsidR="00054BAE" w:rsidRPr="0093564C" w:rsidRDefault="00054BAE" w:rsidP="00EF6AF5">
            <w:pPr>
              <w:jc w:val="center"/>
            </w:pPr>
          </w:p>
        </w:tc>
      </w:tr>
      <w:tr w:rsidR="00054BAE" w:rsidRPr="0093564C" w:rsidTr="00054BAE">
        <w:trPr>
          <w:trHeight w:val="1134"/>
          <w:jc w:val="center"/>
        </w:trPr>
        <w:tc>
          <w:tcPr>
            <w:tcW w:w="1092" w:type="dxa"/>
            <w:vAlign w:val="center"/>
          </w:tcPr>
          <w:p w:rsidR="00054BAE" w:rsidRPr="00054BAE" w:rsidRDefault="00054BAE" w:rsidP="00EF6AF5">
            <w:pPr>
              <w:jc w:val="center"/>
              <w:rPr>
                <w:b/>
              </w:rPr>
            </w:pPr>
            <w:proofErr w:type="spellStart"/>
            <w:r w:rsidRPr="00054BAE">
              <w:rPr>
                <w:b/>
              </w:rPr>
              <w:t>eGFR</w:t>
            </w:r>
            <w:proofErr w:type="spellEnd"/>
          </w:p>
          <w:p w:rsidR="00054BAE" w:rsidRPr="00054BAE" w:rsidRDefault="00054BAE" w:rsidP="00EF6AF5">
            <w:pPr>
              <w:jc w:val="center"/>
              <w:rPr>
                <w:b/>
              </w:rPr>
            </w:pPr>
            <w:r w:rsidRPr="00054BAE">
              <w:rPr>
                <w:b/>
              </w:rPr>
              <w:t>10-19</w:t>
            </w:r>
          </w:p>
        </w:tc>
        <w:tc>
          <w:tcPr>
            <w:tcW w:w="1701" w:type="dxa"/>
            <w:vMerge/>
          </w:tcPr>
          <w:p w:rsidR="00054BAE" w:rsidRPr="0093564C" w:rsidRDefault="00054BAE" w:rsidP="00EF6AF5"/>
        </w:tc>
        <w:tc>
          <w:tcPr>
            <w:tcW w:w="1961" w:type="dxa"/>
            <w:vMerge/>
          </w:tcPr>
          <w:p w:rsidR="00054BAE" w:rsidRPr="0093564C" w:rsidRDefault="00054BAE" w:rsidP="00EF6AF5"/>
        </w:tc>
        <w:tc>
          <w:tcPr>
            <w:tcW w:w="1490" w:type="dxa"/>
            <w:vAlign w:val="center"/>
          </w:tcPr>
          <w:p w:rsidR="00054BAE" w:rsidRPr="0093564C" w:rsidRDefault="00054BAE" w:rsidP="00EF6AF5">
            <w:pPr>
              <w:jc w:val="center"/>
            </w:pPr>
            <w:r>
              <w:t>Likely avoid – see note 3 below</w:t>
            </w:r>
          </w:p>
        </w:tc>
        <w:tc>
          <w:tcPr>
            <w:tcW w:w="1490" w:type="dxa"/>
            <w:vMerge/>
          </w:tcPr>
          <w:p w:rsidR="00054BAE" w:rsidRPr="0093564C" w:rsidRDefault="00054BAE" w:rsidP="00EF6AF5"/>
        </w:tc>
        <w:tc>
          <w:tcPr>
            <w:tcW w:w="1490" w:type="dxa"/>
            <w:vMerge/>
          </w:tcPr>
          <w:p w:rsidR="00054BAE" w:rsidRPr="0093564C" w:rsidRDefault="00054BAE" w:rsidP="00EF6AF5"/>
        </w:tc>
      </w:tr>
      <w:tr w:rsidR="00054BAE" w:rsidRPr="0093564C" w:rsidTr="00054BAE">
        <w:trPr>
          <w:trHeight w:val="1134"/>
          <w:jc w:val="center"/>
        </w:trPr>
        <w:tc>
          <w:tcPr>
            <w:tcW w:w="1092" w:type="dxa"/>
            <w:vAlign w:val="center"/>
          </w:tcPr>
          <w:p w:rsidR="00054BAE" w:rsidRPr="00054BAE" w:rsidRDefault="00054BAE" w:rsidP="00EF6AF5">
            <w:pPr>
              <w:jc w:val="center"/>
              <w:rPr>
                <w:b/>
              </w:rPr>
            </w:pPr>
            <w:r w:rsidRPr="00054BAE">
              <w:rPr>
                <w:b/>
              </w:rPr>
              <w:t>Dialysis</w:t>
            </w:r>
          </w:p>
        </w:tc>
        <w:tc>
          <w:tcPr>
            <w:tcW w:w="1701" w:type="dxa"/>
            <w:vMerge/>
          </w:tcPr>
          <w:p w:rsidR="00054BAE" w:rsidRPr="0093564C" w:rsidRDefault="00054BAE" w:rsidP="00EF6AF5"/>
        </w:tc>
        <w:tc>
          <w:tcPr>
            <w:tcW w:w="1961" w:type="dxa"/>
            <w:vMerge/>
          </w:tcPr>
          <w:p w:rsidR="00054BAE" w:rsidRPr="0093564C" w:rsidRDefault="00054BAE" w:rsidP="00EF6AF5"/>
        </w:tc>
        <w:tc>
          <w:tcPr>
            <w:tcW w:w="1490" w:type="dxa"/>
            <w:vAlign w:val="center"/>
          </w:tcPr>
          <w:p w:rsidR="00054BAE" w:rsidRPr="0093564C" w:rsidRDefault="00054BAE" w:rsidP="00EF6AF5">
            <w:pPr>
              <w:jc w:val="center"/>
            </w:pPr>
            <w:r w:rsidRPr="0093564C">
              <w:t xml:space="preserve">Start if </w:t>
            </w:r>
            <w:r>
              <w:t>potassium well controlled</w:t>
            </w:r>
          </w:p>
        </w:tc>
        <w:tc>
          <w:tcPr>
            <w:tcW w:w="1490" w:type="dxa"/>
            <w:vMerge/>
          </w:tcPr>
          <w:p w:rsidR="00054BAE" w:rsidRPr="0093564C" w:rsidRDefault="00054BAE" w:rsidP="00EF6AF5"/>
        </w:tc>
        <w:tc>
          <w:tcPr>
            <w:tcW w:w="1490" w:type="dxa"/>
            <w:vMerge/>
          </w:tcPr>
          <w:p w:rsidR="00054BAE" w:rsidRPr="0093564C" w:rsidRDefault="00054BAE" w:rsidP="00EF6AF5"/>
        </w:tc>
      </w:tr>
    </w:tbl>
    <w:p w:rsidR="00054BAE" w:rsidRDefault="00054BAE" w:rsidP="00054BAE">
      <w:r w:rsidRPr="0093564C">
        <w:t xml:space="preserve"> </w:t>
      </w:r>
    </w:p>
    <w:tbl>
      <w:tblPr>
        <w:tblStyle w:val="TableGrid"/>
        <w:tblW w:w="0" w:type="auto"/>
        <w:jc w:val="center"/>
        <w:tblInd w:w="-2863" w:type="dxa"/>
        <w:tblLook w:val="04A0"/>
      </w:tblPr>
      <w:tblGrid>
        <w:gridCol w:w="6245"/>
        <w:gridCol w:w="2968"/>
      </w:tblGrid>
      <w:tr w:rsidR="00054BAE" w:rsidTr="00054BAE">
        <w:trPr>
          <w:jc w:val="center"/>
        </w:trPr>
        <w:tc>
          <w:tcPr>
            <w:tcW w:w="6245" w:type="dxa"/>
          </w:tcPr>
          <w:p w:rsidR="00054BAE" w:rsidRPr="00054BAE" w:rsidRDefault="00054BAE" w:rsidP="00EF6AF5">
            <w:pPr>
              <w:jc w:val="center"/>
              <w:rPr>
                <w:b/>
              </w:rPr>
            </w:pPr>
            <w:proofErr w:type="spellStart"/>
            <w:r w:rsidRPr="00054BAE">
              <w:rPr>
                <w:b/>
              </w:rPr>
              <w:t>Creatinine</w:t>
            </w:r>
            <w:proofErr w:type="spellEnd"/>
            <w:r w:rsidRPr="00054BAE">
              <w:rPr>
                <w:b/>
              </w:rPr>
              <w:t xml:space="preserve"> clearance (ml/min)</w:t>
            </w:r>
          </w:p>
        </w:tc>
        <w:tc>
          <w:tcPr>
            <w:tcW w:w="2968" w:type="dxa"/>
          </w:tcPr>
          <w:p w:rsidR="00054BAE" w:rsidRPr="00054BAE" w:rsidRDefault="00054BAE" w:rsidP="00EF6AF5">
            <w:pPr>
              <w:jc w:val="center"/>
              <w:rPr>
                <w:b/>
              </w:rPr>
            </w:pPr>
            <w:r w:rsidRPr="00054BAE">
              <w:rPr>
                <w:b/>
              </w:rPr>
              <w:t>Anticoagulant</w:t>
            </w:r>
          </w:p>
        </w:tc>
      </w:tr>
      <w:tr w:rsidR="00054BAE" w:rsidTr="00054BAE">
        <w:trPr>
          <w:jc w:val="center"/>
        </w:trPr>
        <w:tc>
          <w:tcPr>
            <w:tcW w:w="6245" w:type="dxa"/>
            <w:vAlign w:val="center"/>
          </w:tcPr>
          <w:p w:rsidR="00054BAE" w:rsidRPr="00054BAE" w:rsidRDefault="00054BAE" w:rsidP="00EF6AF5">
            <w:pPr>
              <w:jc w:val="center"/>
              <w:rPr>
                <w:b/>
              </w:rPr>
            </w:pPr>
            <w:r w:rsidRPr="00054BAE">
              <w:rPr>
                <w:b/>
              </w:rPr>
              <w:t>20 or greater</w:t>
            </w:r>
          </w:p>
        </w:tc>
        <w:tc>
          <w:tcPr>
            <w:tcW w:w="2968" w:type="dxa"/>
            <w:vAlign w:val="center"/>
          </w:tcPr>
          <w:p w:rsidR="00054BAE" w:rsidRDefault="00054BAE" w:rsidP="00EF6AF5">
            <w:pPr>
              <w:jc w:val="center"/>
            </w:pPr>
            <w:proofErr w:type="spellStart"/>
            <w:r>
              <w:t>Fondaparinux</w:t>
            </w:r>
            <w:proofErr w:type="spellEnd"/>
            <w:r>
              <w:t xml:space="preserve"> 2.5mg sub cut daily</w:t>
            </w:r>
          </w:p>
        </w:tc>
      </w:tr>
      <w:tr w:rsidR="00054BAE" w:rsidTr="00054BAE">
        <w:trPr>
          <w:jc w:val="center"/>
        </w:trPr>
        <w:tc>
          <w:tcPr>
            <w:tcW w:w="6245" w:type="dxa"/>
            <w:vAlign w:val="center"/>
          </w:tcPr>
          <w:p w:rsidR="00054BAE" w:rsidRPr="00054BAE" w:rsidRDefault="00054BAE" w:rsidP="00EF6AF5">
            <w:pPr>
              <w:jc w:val="center"/>
              <w:rPr>
                <w:b/>
              </w:rPr>
            </w:pPr>
            <w:r w:rsidRPr="00054BAE">
              <w:rPr>
                <w:b/>
              </w:rPr>
              <w:t>Below 20</w:t>
            </w:r>
          </w:p>
        </w:tc>
        <w:tc>
          <w:tcPr>
            <w:tcW w:w="2968" w:type="dxa"/>
            <w:vAlign w:val="center"/>
          </w:tcPr>
          <w:p w:rsidR="00054BAE" w:rsidRDefault="00054BAE" w:rsidP="00EF6AF5">
            <w:pPr>
              <w:jc w:val="center"/>
            </w:pPr>
            <w:proofErr w:type="spellStart"/>
            <w:r>
              <w:t>Dalteparin</w:t>
            </w:r>
            <w:proofErr w:type="spellEnd"/>
            <w:r>
              <w:t>.  Dosing as per note 2 below.</w:t>
            </w:r>
          </w:p>
        </w:tc>
      </w:tr>
    </w:tbl>
    <w:p w:rsidR="004D6F87" w:rsidRPr="004D6F87" w:rsidRDefault="004D6F87" w:rsidP="00054BAE">
      <w:pPr>
        <w:ind w:left="-142"/>
        <w:rPr>
          <w:rFonts w:ascii="Calibri" w:hAnsi="Calibri" w:cs="Arial"/>
          <w:sz w:val="28"/>
          <w:szCs w:val="28"/>
        </w:rPr>
      </w:pPr>
    </w:p>
    <w:p w:rsidR="004D6F87" w:rsidRPr="004D6F87" w:rsidRDefault="004D6F87" w:rsidP="00054BAE">
      <w:pPr>
        <w:rPr>
          <w:rFonts w:ascii="Calibri" w:hAnsi="Calibri" w:cs="Arial"/>
          <w:sz w:val="28"/>
          <w:szCs w:val="28"/>
        </w:rPr>
      </w:pPr>
    </w:p>
    <w:p w:rsidR="004D6F87" w:rsidRPr="004D6F87" w:rsidRDefault="004D6F87" w:rsidP="00054BAE">
      <w:pPr>
        <w:tabs>
          <w:tab w:val="left" w:pos="284"/>
        </w:tabs>
        <w:ind w:left="-142"/>
        <w:rPr>
          <w:rFonts w:ascii="Calibri" w:hAnsi="Calibri" w:cs="Arial"/>
          <w:sz w:val="28"/>
          <w:szCs w:val="28"/>
        </w:rPr>
      </w:pPr>
      <w:r w:rsidRPr="004D6F87">
        <w:rPr>
          <w:rFonts w:ascii="Calibri" w:hAnsi="Calibri" w:cs="Arial"/>
          <w:sz w:val="28"/>
          <w:szCs w:val="28"/>
        </w:rPr>
        <w:t>1)</w:t>
      </w:r>
      <w:r w:rsidRPr="004D6F87">
        <w:rPr>
          <w:rFonts w:ascii="Calibri" w:hAnsi="Calibri" w:cs="Arial"/>
          <w:sz w:val="28"/>
          <w:szCs w:val="28"/>
        </w:rPr>
        <w:tab/>
      </w:r>
      <w:r w:rsidRPr="00054BAE">
        <w:rPr>
          <w:rFonts w:ascii="Calibri" w:hAnsi="Calibri" w:cs="Arial"/>
          <w:b/>
          <w:sz w:val="28"/>
          <w:szCs w:val="28"/>
        </w:rPr>
        <w:t xml:space="preserve">Guidelines for usage of second </w:t>
      </w:r>
      <w:proofErr w:type="spellStart"/>
      <w:r w:rsidRPr="00054BAE">
        <w:rPr>
          <w:rFonts w:ascii="Calibri" w:hAnsi="Calibri" w:cs="Arial"/>
          <w:b/>
          <w:sz w:val="28"/>
          <w:szCs w:val="28"/>
        </w:rPr>
        <w:t>antiplatelet</w:t>
      </w:r>
      <w:proofErr w:type="spellEnd"/>
      <w:r w:rsidRPr="00054BAE">
        <w:rPr>
          <w:rFonts w:ascii="Calibri" w:hAnsi="Calibri" w:cs="Arial"/>
          <w:b/>
          <w:sz w:val="28"/>
          <w:szCs w:val="28"/>
        </w:rPr>
        <w:t>:</w:t>
      </w:r>
      <w:r w:rsidRPr="004D6F87">
        <w:rPr>
          <w:rFonts w:ascii="Calibri" w:hAnsi="Calibri" w:cs="Arial"/>
          <w:sz w:val="28"/>
          <w:szCs w:val="28"/>
        </w:rPr>
        <w:t xml:space="preserve">  Risk of bleeding increases and the benefit derived from dual </w:t>
      </w:r>
      <w:proofErr w:type="spellStart"/>
      <w:r w:rsidRPr="004D6F87">
        <w:rPr>
          <w:rFonts w:ascii="Calibri" w:hAnsi="Calibri" w:cs="Arial"/>
          <w:sz w:val="28"/>
          <w:szCs w:val="28"/>
        </w:rPr>
        <w:t>antiplatelets</w:t>
      </w:r>
      <w:proofErr w:type="spellEnd"/>
      <w:r w:rsidRPr="004D6F87">
        <w:rPr>
          <w:rFonts w:ascii="Calibri" w:hAnsi="Calibri" w:cs="Arial"/>
          <w:sz w:val="28"/>
          <w:szCs w:val="28"/>
        </w:rPr>
        <w:t xml:space="preserve"> decreases as degree of renal impairment worsens.  It is unclear what the optimum time course for dual </w:t>
      </w:r>
      <w:proofErr w:type="spellStart"/>
      <w:r w:rsidRPr="004D6F87">
        <w:rPr>
          <w:rFonts w:ascii="Calibri" w:hAnsi="Calibri" w:cs="Arial"/>
          <w:sz w:val="28"/>
          <w:szCs w:val="28"/>
        </w:rPr>
        <w:t>antiplatelets</w:t>
      </w:r>
      <w:proofErr w:type="spellEnd"/>
      <w:r w:rsidRPr="004D6F87">
        <w:rPr>
          <w:rFonts w:ascii="Calibri" w:hAnsi="Calibri" w:cs="Arial"/>
          <w:sz w:val="28"/>
          <w:szCs w:val="28"/>
        </w:rPr>
        <w:t xml:space="preserve"> is, especially in those with chronic kidney disease.  The decision as to whether to continue beyond 3 months should be made on an individual patient’s risk of bleeding.</w:t>
      </w:r>
    </w:p>
    <w:p w:rsidR="004D6F87" w:rsidRPr="004D6F87" w:rsidRDefault="004D6F87" w:rsidP="00054BAE">
      <w:pPr>
        <w:ind w:left="-142"/>
        <w:rPr>
          <w:rFonts w:ascii="Calibri" w:hAnsi="Calibri" w:cs="Arial"/>
          <w:sz w:val="28"/>
          <w:szCs w:val="28"/>
        </w:rPr>
      </w:pPr>
    </w:p>
    <w:p w:rsidR="004D6F87" w:rsidRPr="004D6F87" w:rsidRDefault="004D6F87" w:rsidP="00054BAE">
      <w:pPr>
        <w:tabs>
          <w:tab w:val="left" w:pos="284"/>
        </w:tabs>
        <w:ind w:left="-142"/>
        <w:rPr>
          <w:rFonts w:ascii="Calibri" w:hAnsi="Calibri" w:cs="Arial"/>
          <w:sz w:val="28"/>
          <w:szCs w:val="28"/>
        </w:rPr>
      </w:pPr>
      <w:r w:rsidRPr="004D6F87">
        <w:rPr>
          <w:rFonts w:ascii="Calibri" w:hAnsi="Calibri" w:cs="Arial"/>
          <w:sz w:val="28"/>
          <w:szCs w:val="28"/>
        </w:rPr>
        <w:lastRenderedPageBreak/>
        <w:t>2)</w:t>
      </w:r>
      <w:r w:rsidRPr="004D6F87">
        <w:rPr>
          <w:rFonts w:ascii="Calibri" w:hAnsi="Calibri" w:cs="Arial"/>
          <w:sz w:val="28"/>
          <w:szCs w:val="28"/>
        </w:rPr>
        <w:tab/>
      </w:r>
      <w:r w:rsidRPr="00054BAE">
        <w:rPr>
          <w:rFonts w:ascii="Calibri" w:hAnsi="Calibri" w:cs="Arial"/>
          <w:b/>
          <w:sz w:val="28"/>
          <w:szCs w:val="28"/>
        </w:rPr>
        <w:t>Guidelines for anticoagulant therapy:</w:t>
      </w:r>
      <w:r w:rsidRPr="004D6F87">
        <w:rPr>
          <w:rFonts w:ascii="Calibri" w:hAnsi="Calibri" w:cs="Arial"/>
          <w:sz w:val="28"/>
          <w:szCs w:val="28"/>
        </w:rPr>
        <w:t xml:space="preserve">  </w:t>
      </w:r>
      <w:proofErr w:type="spellStart"/>
      <w:r w:rsidRPr="004D6F87">
        <w:rPr>
          <w:rFonts w:ascii="Calibri" w:hAnsi="Calibri" w:cs="Arial"/>
          <w:sz w:val="28"/>
          <w:szCs w:val="28"/>
        </w:rPr>
        <w:t>Fondaparinux</w:t>
      </w:r>
      <w:proofErr w:type="spellEnd"/>
      <w:r w:rsidRPr="004D6F87">
        <w:rPr>
          <w:rFonts w:ascii="Calibri" w:hAnsi="Calibri" w:cs="Arial"/>
          <w:sz w:val="28"/>
          <w:szCs w:val="28"/>
        </w:rPr>
        <w:t xml:space="preserve"> is not licensed below a </w:t>
      </w:r>
      <w:proofErr w:type="spellStart"/>
      <w:r w:rsidRPr="004D6F87">
        <w:rPr>
          <w:rFonts w:ascii="Calibri" w:hAnsi="Calibri" w:cs="Arial"/>
          <w:sz w:val="28"/>
          <w:szCs w:val="28"/>
        </w:rPr>
        <w:t>creatinine</w:t>
      </w:r>
      <w:proofErr w:type="spellEnd"/>
      <w:r w:rsidRPr="004D6F87">
        <w:rPr>
          <w:rFonts w:ascii="Calibri" w:hAnsi="Calibri" w:cs="Arial"/>
          <w:sz w:val="28"/>
          <w:szCs w:val="28"/>
        </w:rPr>
        <w:t xml:space="preserve"> clearance of 20ml/min.  Bleeding risk also increases with anticoagulants as degree of renal impairment worsens.  Where patients are at high risk of bleeding, it may be preferable to avoid anticoagulants.  For those patients who are not at high risk of bleeding we recommend using </w:t>
      </w:r>
      <w:proofErr w:type="spellStart"/>
      <w:r w:rsidRPr="004D6F87">
        <w:rPr>
          <w:rFonts w:ascii="Calibri" w:hAnsi="Calibri" w:cs="Arial"/>
          <w:sz w:val="28"/>
          <w:szCs w:val="28"/>
        </w:rPr>
        <w:t>dalteparin</w:t>
      </w:r>
      <w:proofErr w:type="spellEnd"/>
      <w:r w:rsidRPr="004D6F87">
        <w:rPr>
          <w:rFonts w:ascii="Calibri" w:hAnsi="Calibri" w:cs="Arial"/>
          <w:sz w:val="28"/>
          <w:szCs w:val="28"/>
        </w:rPr>
        <w:t xml:space="preserve"> when </w:t>
      </w:r>
      <w:proofErr w:type="spellStart"/>
      <w:r w:rsidRPr="004D6F87">
        <w:rPr>
          <w:rFonts w:ascii="Calibri" w:hAnsi="Calibri" w:cs="Arial"/>
          <w:sz w:val="28"/>
          <w:szCs w:val="28"/>
        </w:rPr>
        <w:t>creatinine</w:t>
      </w:r>
      <w:proofErr w:type="spellEnd"/>
      <w:r w:rsidRPr="004D6F87">
        <w:rPr>
          <w:rFonts w:ascii="Calibri" w:hAnsi="Calibri" w:cs="Arial"/>
          <w:sz w:val="28"/>
          <w:szCs w:val="28"/>
        </w:rPr>
        <w:t xml:space="preserve"> clearance is below 20ml/min.  The dose of </w:t>
      </w:r>
      <w:proofErr w:type="spellStart"/>
      <w:r w:rsidRPr="004D6F87">
        <w:rPr>
          <w:rFonts w:ascii="Calibri" w:hAnsi="Calibri" w:cs="Arial"/>
          <w:sz w:val="28"/>
          <w:szCs w:val="28"/>
        </w:rPr>
        <w:t>dalteparin</w:t>
      </w:r>
      <w:proofErr w:type="spellEnd"/>
      <w:r w:rsidRPr="004D6F87">
        <w:rPr>
          <w:rFonts w:ascii="Calibri" w:hAnsi="Calibri" w:cs="Arial"/>
          <w:sz w:val="28"/>
          <w:szCs w:val="28"/>
        </w:rPr>
        <w:t xml:space="preserve"> is calculated based on weight as per the table below and factor </w:t>
      </w:r>
      <w:proofErr w:type="spellStart"/>
      <w:r w:rsidRPr="004D6F87">
        <w:rPr>
          <w:rFonts w:ascii="Calibri" w:hAnsi="Calibri" w:cs="Arial"/>
          <w:sz w:val="28"/>
          <w:szCs w:val="28"/>
        </w:rPr>
        <w:t>Xa</w:t>
      </w:r>
      <w:proofErr w:type="spellEnd"/>
      <w:r w:rsidRPr="004D6F87">
        <w:rPr>
          <w:rFonts w:ascii="Calibri" w:hAnsi="Calibri" w:cs="Arial"/>
          <w:sz w:val="28"/>
          <w:szCs w:val="28"/>
        </w:rPr>
        <w:t xml:space="preserve"> level monitoring should be performed.  </w:t>
      </w:r>
    </w:p>
    <w:p w:rsidR="004D6F87" w:rsidRPr="004D6F87" w:rsidRDefault="004D6F87" w:rsidP="00054BAE">
      <w:pPr>
        <w:ind w:left="-142"/>
        <w:rPr>
          <w:rFonts w:ascii="Calibri" w:hAnsi="Calibri" w:cs="Arial"/>
          <w:sz w:val="28"/>
          <w:szCs w:val="28"/>
        </w:rPr>
      </w:pPr>
    </w:p>
    <w:p w:rsidR="00A02115" w:rsidRDefault="00A02115" w:rsidP="00A02115"/>
    <w:tbl>
      <w:tblPr>
        <w:tblStyle w:val="TableGrid"/>
        <w:tblW w:w="0" w:type="auto"/>
        <w:tblLook w:val="04A0"/>
      </w:tblPr>
      <w:tblGrid>
        <w:gridCol w:w="4621"/>
        <w:gridCol w:w="4621"/>
      </w:tblGrid>
      <w:tr w:rsidR="00A02115" w:rsidTr="00EF6AF5">
        <w:tc>
          <w:tcPr>
            <w:tcW w:w="4621" w:type="dxa"/>
          </w:tcPr>
          <w:p w:rsidR="00A02115" w:rsidRPr="00A02115" w:rsidRDefault="00A02115" w:rsidP="00EF6AF5">
            <w:pPr>
              <w:jc w:val="center"/>
              <w:rPr>
                <w:rFonts w:ascii="Calibri" w:hAnsi="Calibri"/>
                <w:b/>
                <w:sz w:val="24"/>
                <w:szCs w:val="24"/>
                <w:lang w:val="en-US"/>
              </w:rPr>
            </w:pPr>
            <w:r w:rsidRPr="00A02115">
              <w:rPr>
                <w:rFonts w:ascii="Calibri" w:hAnsi="Calibri"/>
                <w:b/>
                <w:sz w:val="24"/>
                <w:szCs w:val="24"/>
                <w:lang w:val="en-US"/>
              </w:rPr>
              <w:t>Dose calculation</w:t>
            </w:r>
          </w:p>
        </w:tc>
        <w:tc>
          <w:tcPr>
            <w:tcW w:w="4621" w:type="dxa"/>
          </w:tcPr>
          <w:p w:rsidR="00A02115" w:rsidRPr="00A02115" w:rsidRDefault="00A02115" w:rsidP="00EF6AF5">
            <w:pPr>
              <w:jc w:val="center"/>
              <w:rPr>
                <w:rFonts w:ascii="Calibri" w:hAnsi="Calibri"/>
                <w:b/>
                <w:sz w:val="24"/>
                <w:szCs w:val="24"/>
                <w:lang w:val="en-US"/>
              </w:rPr>
            </w:pPr>
            <w:r w:rsidRPr="00A02115">
              <w:rPr>
                <w:rFonts w:ascii="Calibri" w:hAnsi="Calibri"/>
                <w:b/>
                <w:sz w:val="24"/>
                <w:szCs w:val="24"/>
                <w:lang w:val="en-US"/>
              </w:rPr>
              <w:t xml:space="preserve">Anti-factor </w:t>
            </w:r>
            <w:proofErr w:type="spellStart"/>
            <w:r w:rsidRPr="00A02115">
              <w:rPr>
                <w:rFonts w:ascii="Calibri" w:hAnsi="Calibri"/>
                <w:b/>
                <w:sz w:val="24"/>
                <w:szCs w:val="24"/>
                <w:lang w:val="en-US"/>
              </w:rPr>
              <w:t>Xa</w:t>
            </w:r>
            <w:proofErr w:type="spellEnd"/>
            <w:r w:rsidRPr="00A02115">
              <w:rPr>
                <w:rFonts w:ascii="Calibri" w:hAnsi="Calibri"/>
                <w:b/>
                <w:sz w:val="24"/>
                <w:szCs w:val="24"/>
                <w:lang w:val="en-US"/>
              </w:rPr>
              <w:t xml:space="preserve"> level monitoring</w:t>
            </w:r>
          </w:p>
        </w:tc>
      </w:tr>
      <w:tr w:rsidR="00A02115" w:rsidTr="00EF6AF5">
        <w:tc>
          <w:tcPr>
            <w:tcW w:w="4621" w:type="dxa"/>
          </w:tcPr>
          <w:p w:rsidR="00A02115" w:rsidRPr="00A02115" w:rsidRDefault="00A02115" w:rsidP="00EF6AF5">
            <w:pPr>
              <w:rPr>
                <w:rFonts w:ascii="Calibri" w:hAnsi="Calibri"/>
                <w:sz w:val="24"/>
                <w:szCs w:val="24"/>
                <w:lang w:val="en-US"/>
              </w:rPr>
            </w:pPr>
            <w:proofErr w:type="spellStart"/>
            <w:r w:rsidRPr="00A02115">
              <w:rPr>
                <w:rFonts w:ascii="Calibri" w:hAnsi="Calibri"/>
                <w:sz w:val="24"/>
                <w:szCs w:val="24"/>
                <w:lang w:val="en-US"/>
              </w:rPr>
              <w:t>Dalteparin</w:t>
            </w:r>
            <w:proofErr w:type="spellEnd"/>
            <w:r w:rsidRPr="00A02115">
              <w:rPr>
                <w:rFonts w:ascii="Calibri" w:hAnsi="Calibri"/>
                <w:sz w:val="24"/>
                <w:szCs w:val="24"/>
                <w:lang w:val="en-US"/>
              </w:rPr>
              <w:t xml:space="preserve"> sub cut once daily</w:t>
            </w:r>
          </w:p>
          <w:p w:rsidR="00A02115" w:rsidRPr="00A02115" w:rsidRDefault="00A02115" w:rsidP="00EF6AF5">
            <w:pPr>
              <w:rPr>
                <w:rFonts w:ascii="Calibri" w:hAnsi="Calibri"/>
                <w:sz w:val="24"/>
                <w:szCs w:val="24"/>
                <w:lang w:val="en-US"/>
              </w:rPr>
            </w:pPr>
            <w:r w:rsidRPr="00A02115">
              <w:rPr>
                <w:rFonts w:ascii="Calibri" w:hAnsi="Calibri"/>
                <w:sz w:val="24"/>
                <w:szCs w:val="24"/>
                <w:lang w:val="en-US"/>
              </w:rPr>
              <w:t>130units/kg</w:t>
            </w:r>
          </w:p>
          <w:p w:rsidR="00A02115" w:rsidRPr="00A02115" w:rsidRDefault="00A02115" w:rsidP="00EF6AF5">
            <w:pPr>
              <w:rPr>
                <w:rFonts w:ascii="Calibri" w:hAnsi="Calibri"/>
                <w:sz w:val="24"/>
                <w:szCs w:val="24"/>
                <w:lang w:val="en-US"/>
              </w:rPr>
            </w:pPr>
          </w:p>
          <w:p w:rsidR="00A02115" w:rsidRPr="00A02115" w:rsidRDefault="00A02115" w:rsidP="00EF6AF5">
            <w:pPr>
              <w:rPr>
                <w:rFonts w:ascii="Calibri" w:hAnsi="Calibri"/>
                <w:sz w:val="24"/>
                <w:szCs w:val="24"/>
                <w:lang w:val="en-US"/>
              </w:rPr>
            </w:pPr>
            <w:r w:rsidRPr="00A02115">
              <w:rPr>
                <w:rFonts w:ascii="Calibri" w:hAnsi="Calibri"/>
                <w:sz w:val="24"/>
                <w:szCs w:val="24"/>
                <w:lang w:val="en-US"/>
              </w:rPr>
              <w:t>Please round to nearest available syringe:</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5,000units</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7,500units</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10,000units</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12,500units</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15,000units</w:t>
            </w:r>
          </w:p>
          <w:p w:rsidR="00A02115" w:rsidRPr="00A02115" w:rsidRDefault="00A02115" w:rsidP="00A02115">
            <w:pPr>
              <w:pStyle w:val="ListParagraph"/>
              <w:numPr>
                <w:ilvl w:val="0"/>
                <w:numId w:val="8"/>
              </w:numPr>
              <w:rPr>
                <w:rFonts w:ascii="Calibri" w:hAnsi="Calibri"/>
                <w:sz w:val="24"/>
                <w:szCs w:val="24"/>
                <w:lang w:val="en-US"/>
              </w:rPr>
            </w:pPr>
            <w:r w:rsidRPr="00A02115">
              <w:rPr>
                <w:rFonts w:ascii="Calibri" w:hAnsi="Calibri"/>
                <w:sz w:val="24"/>
                <w:szCs w:val="24"/>
                <w:lang w:val="en-US"/>
              </w:rPr>
              <w:t>18,000units</w:t>
            </w:r>
          </w:p>
        </w:tc>
        <w:tc>
          <w:tcPr>
            <w:tcW w:w="4621" w:type="dxa"/>
          </w:tcPr>
          <w:p w:rsidR="00A02115" w:rsidRPr="00A02115" w:rsidRDefault="00A02115" w:rsidP="00EF6AF5">
            <w:pPr>
              <w:rPr>
                <w:rFonts w:ascii="Calibri" w:hAnsi="Calibri"/>
                <w:sz w:val="24"/>
                <w:szCs w:val="24"/>
                <w:lang w:val="en-US"/>
              </w:rPr>
            </w:pPr>
            <w:r w:rsidRPr="00A02115">
              <w:rPr>
                <w:rFonts w:ascii="Calibri" w:hAnsi="Calibri"/>
                <w:sz w:val="24"/>
                <w:szCs w:val="24"/>
                <w:lang w:val="en-US"/>
              </w:rPr>
              <w:t>Ordered as LMW heparin assay.</w:t>
            </w:r>
          </w:p>
          <w:p w:rsidR="00A02115" w:rsidRPr="00A02115" w:rsidRDefault="00A02115" w:rsidP="00EF6AF5">
            <w:pPr>
              <w:rPr>
                <w:rFonts w:ascii="Calibri" w:hAnsi="Calibri"/>
                <w:sz w:val="24"/>
                <w:szCs w:val="24"/>
                <w:lang w:val="en-US"/>
              </w:rPr>
            </w:pPr>
            <w:r w:rsidRPr="00A02115">
              <w:rPr>
                <w:rFonts w:ascii="Calibri" w:hAnsi="Calibri"/>
                <w:sz w:val="24"/>
                <w:szCs w:val="24"/>
                <w:lang w:val="en-US"/>
              </w:rPr>
              <w:t>Collect sample in green tube.</w:t>
            </w:r>
          </w:p>
          <w:p w:rsidR="00A02115" w:rsidRPr="00A02115" w:rsidRDefault="00A02115" w:rsidP="00EF6AF5">
            <w:pPr>
              <w:rPr>
                <w:rFonts w:ascii="Calibri" w:hAnsi="Calibri"/>
                <w:sz w:val="24"/>
                <w:szCs w:val="24"/>
                <w:lang w:val="en-US"/>
              </w:rPr>
            </w:pPr>
          </w:p>
          <w:p w:rsidR="00A02115" w:rsidRPr="00A02115" w:rsidRDefault="00A02115" w:rsidP="00EF6AF5">
            <w:pPr>
              <w:rPr>
                <w:rFonts w:ascii="Calibri" w:hAnsi="Calibri"/>
                <w:sz w:val="24"/>
                <w:szCs w:val="24"/>
                <w:lang w:val="en-US"/>
              </w:rPr>
            </w:pPr>
            <w:r w:rsidRPr="00A02115">
              <w:rPr>
                <w:rFonts w:ascii="Calibri" w:hAnsi="Calibri"/>
                <w:sz w:val="24"/>
                <w:szCs w:val="24"/>
                <w:lang w:val="en-US"/>
              </w:rPr>
              <w:t>Perform after 3</w:t>
            </w:r>
            <w:r w:rsidRPr="00A02115">
              <w:rPr>
                <w:rFonts w:ascii="Calibri" w:hAnsi="Calibri"/>
                <w:sz w:val="24"/>
                <w:szCs w:val="24"/>
                <w:vertAlign w:val="superscript"/>
                <w:lang w:val="en-US"/>
              </w:rPr>
              <w:t>rd</w:t>
            </w:r>
            <w:r w:rsidRPr="00A02115">
              <w:rPr>
                <w:rFonts w:ascii="Calibri" w:hAnsi="Calibri"/>
                <w:sz w:val="24"/>
                <w:szCs w:val="24"/>
                <w:lang w:val="en-US"/>
              </w:rPr>
              <w:t xml:space="preserve"> dose</w:t>
            </w:r>
          </w:p>
          <w:p w:rsidR="00A02115" w:rsidRPr="00A02115" w:rsidRDefault="00A02115" w:rsidP="00EF6AF5">
            <w:pPr>
              <w:rPr>
                <w:rFonts w:ascii="Calibri" w:hAnsi="Calibri"/>
                <w:sz w:val="24"/>
                <w:szCs w:val="24"/>
                <w:lang w:val="en-US"/>
              </w:rPr>
            </w:pPr>
          </w:p>
          <w:p w:rsidR="00A02115" w:rsidRPr="00A02115" w:rsidRDefault="00A02115" w:rsidP="00EF6AF5">
            <w:pPr>
              <w:rPr>
                <w:rFonts w:ascii="Calibri" w:hAnsi="Calibri"/>
                <w:sz w:val="24"/>
                <w:szCs w:val="24"/>
                <w:lang w:val="en-US"/>
              </w:rPr>
            </w:pPr>
            <w:r w:rsidRPr="00A02115">
              <w:rPr>
                <w:rFonts w:ascii="Calibri" w:hAnsi="Calibri"/>
                <w:sz w:val="24"/>
                <w:szCs w:val="24"/>
                <w:lang w:val="en-US"/>
              </w:rPr>
              <w:t>This must be done 3-4hours after dose administration to achieve an accurate peak level.</w:t>
            </w:r>
          </w:p>
          <w:p w:rsidR="00A02115" w:rsidRPr="00A02115" w:rsidRDefault="00A02115" w:rsidP="00EF6AF5">
            <w:pPr>
              <w:rPr>
                <w:rFonts w:ascii="Calibri" w:hAnsi="Calibri"/>
                <w:sz w:val="24"/>
                <w:szCs w:val="24"/>
                <w:lang w:val="en-US"/>
              </w:rPr>
            </w:pPr>
            <w:r w:rsidRPr="00A02115">
              <w:rPr>
                <w:rFonts w:ascii="Calibri" w:hAnsi="Calibri"/>
                <w:sz w:val="24"/>
                <w:szCs w:val="24"/>
                <w:lang w:val="en-US"/>
              </w:rPr>
              <w:t>Target 0.5-1.0units/ml</w:t>
            </w:r>
          </w:p>
          <w:p w:rsidR="00A02115" w:rsidRPr="00A02115" w:rsidRDefault="00A02115" w:rsidP="00EF6AF5">
            <w:pPr>
              <w:rPr>
                <w:rFonts w:ascii="Calibri" w:hAnsi="Calibri"/>
                <w:sz w:val="24"/>
                <w:szCs w:val="24"/>
                <w:lang w:val="en-US"/>
              </w:rPr>
            </w:pPr>
          </w:p>
        </w:tc>
      </w:tr>
    </w:tbl>
    <w:p w:rsidR="00A02115" w:rsidRDefault="00A02115" w:rsidP="00A02115"/>
    <w:p w:rsidR="004D6F87" w:rsidRPr="004D6F87" w:rsidRDefault="004D6F87" w:rsidP="00054BAE">
      <w:pPr>
        <w:ind w:left="-142"/>
        <w:rPr>
          <w:rFonts w:ascii="Calibri" w:hAnsi="Calibri" w:cs="Arial"/>
          <w:sz w:val="28"/>
          <w:szCs w:val="28"/>
        </w:rPr>
      </w:pPr>
    </w:p>
    <w:p w:rsidR="004D6F87" w:rsidRPr="004D6F87" w:rsidRDefault="004D6F87" w:rsidP="00054BAE">
      <w:pPr>
        <w:ind w:left="-142"/>
        <w:rPr>
          <w:rFonts w:ascii="Calibri" w:hAnsi="Calibri" w:cs="Arial"/>
          <w:sz w:val="28"/>
          <w:szCs w:val="28"/>
        </w:rPr>
      </w:pPr>
      <w:r w:rsidRPr="004D6F87">
        <w:rPr>
          <w:rFonts w:ascii="Calibri" w:hAnsi="Calibri" w:cs="Arial"/>
          <w:sz w:val="28"/>
          <w:szCs w:val="28"/>
        </w:rPr>
        <w:t xml:space="preserve">The medication should be continued for 8 days, until </w:t>
      </w:r>
      <w:proofErr w:type="spellStart"/>
      <w:r w:rsidRPr="004D6F87">
        <w:rPr>
          <w:rFonts w:ascii="Calibri" w:hAnsi="Calibri" w:cs="Arial"/>
          <w:sz w:val="28"/>
          <w:szCs w:val="28"/>
        </w:rPr>
        <w:t>percutaneous</w:t>
      </w:r>
      <w:proofErr w:type="spellEnd"/>
      <w:r w:rsidRPr="004D6F87">
        <w:rPr>
          <w:rFonts w:ascii="Calibri" w:hAnsi="Calibri" w:cs="Arial"/>
          <w:sz w:val="28"/>
          <w:szCs w:val="28"/>
        </w:rPr>
        <w:t xml:space="preserve"> coronary intervention or until discharge (whichever occurs sooner).  Where factor </w:t>
      </w:r>
      <w:proofErr w:type="spellStart"/>
      <w:r w:rsidRPr="004D6F87">
        <w:rPr>
          <w:rFonts w:ascii="Calibri" w:hAnsi="Calibri" w:cs="Arial"/>
          <w:sz w:val="28"/>
          <w:szCs w:val="28"/>
        </w:rPr>
        <w:t>Xa</w:t>
      </w:r>
      <w:proofErr w:type="spellEnd"/>
      <w:r w:rsidRPr="004D6F87">
        <w:rPr>
          <w:rFonts w:ascii="Calibri" w:hAnsi="Calibri" w:cs="Arial"/>
          <w:sz w:val="28"/>
          <w:szCs w:val="28"/>
        </w:rPr>
        <w:t xml:space="preserve"> levels are out with the target range the result should be discussed with the haematology registrar on call for advice on dose adjustment. </w:t>
      </w:r>
    </w:p>
    <w:p w:rsidR="004D6F87" w:rsidRDefault="004D6F87" w:rsidP="00054BAE">
      <w:pPr>
        <w:ind w:left="-142"/>
        <w:rPr>
          <w:rFonts w:ascii="Calibri" w:hAnsi="Calibri" w:cs="Arial"/>
          <w:sz w:val="28"/>
          <w:szCs w:val="28"/>
        </w:rPr>
      </w:pPr>
    </w:p>
    <w:p w:rsidR="00A02115" w:rsidRPr="004D6F87" w:rsidRDefault="00A02115" w:rsidP="00054BAE">
      <w:pPr>
        <w:ind w:left="-142"/>
        <w:rPr>
          <w:rFonts w:ascii="Calibri" w:hAnsi="Calibri" w:cs="Arial"/>
          <w:sz w:val="28"/>
          <w:szCs w:val="28"/>
        </w:rPr>
      </w:pPr>
    </w:p>
    <w:p w:rsidR="004D6F87" w:rsidRPr="004D6F87" w:rsidRDefault="004D6F87" w:rsidP="00A02115">
      <w:pPr>
        <w:tabs>
          <w:tab w:val="left" w:pos="284"/>
        </w:tabs>
        <w:ind w:left="-142"/>
        <w:rPr>
          <w:rFonts w:ascii="Calibri" w:hAnsi="Calibri" w:cs="Arial"/>
          <w:sz w:val="28"/>
          <w:szCs w:val="28"/>
        </w:rPr>
      </w:pPr>
      <w:r w:rsidRPr="004D6F87">
        <w:rPr>
          <w:rFonts w:ascii="Calibri" w:hAnsi="Calibri" w:cs="Arial"/>
          <w:sz w:val="28"/>
          <w:szCs w:val="28"/>
        </w:rPr>
        <w:t>3)</w:t>
      </w:r>
      <w:r w:rsidRPr="004D6F87">
        <w:rPr>
          <w:rFonts w:ascii="Calibri" w:hAnsi="Calibri" w:cs="Arial"/>
          <w:sz w:val="28"/>
          <w:szCs w:val="28"/>
        </w:rPr>
        <w:tab/>
      </w:r>
      <w:r w:rsidRPr="00A02115">
        <w:rPr>
          <w:rFonts w:ascii="Calibri" w:hAnsi="Calibri" w:cs="Arial"/>
          <w:b/>
          <w:sz w:val="28"/>
          <w:szCs w:val="28"/>
        </w:rPr>
        <w:t xml:space="preserve">Guidelines for starting </w:t>
      </w:r>
      <w:proofErr w:type="spellStart"/>
      <w:r w:rsidRPr="00A02115">
        <w:rPr>
          <w:rFonts w:ascii="Calibri" w:hAnsi="Calibri" w:cs="Arial"/>
          <w:b/>
          <w:sz w:val="28"/>
          <w:szCs w:val="28"/>
        </w:rPr>
        <w:t>ACEi</w:t>
      </w:r>
      <w:proofErr w:type="spellEnd"/>
      <w:r w:rsidRPr="00A02115">
        <w:rPr>
          <w:rFonts w:ascii="Calibri" w:hAnsi="Calibri" w:cs="Arial"/>
          <w:b/>
          <w:sz w:val="28"/>
          <w:szCs w:val="28"/>
        </w:rPr>
        <w:t>:</w:t>
      </w:r>
      <w:r w:rsidRPr="004D6F87">
        <w:rPr>
          <w:rFonts w:ascii="Calibri" w:hAnsi="Calibri" w:cs="Arial"/>
          <w:sz w:val="28"/>
          <w:szCs w:val="28"/>
        </w:rPr>
        <w:t xml:space="preserve"> </w:t>
      </w:r>
      <w:r w:rsidR="00A02115">
        <w:rPr>
          <w:rFonts w:ascii="Calibri" w:hAnsi="Calibri" w:cs="Arial"/>
          <w:sz w:val="28"/>
          <w:szCs w:val="28"/>
        </w:rPr>
        <w:t xml:space="preserve"> </w:t>
      </w:r>
      <w:r w:rsidRPr="004D6F87">
        <w:rPr>
          <w:rFonts w:ascii="Calibri" w:hAnsi="Calibri" w:cs="Arial"/>
          <w:sz w:val="28"/>
          <w:szCs w:val="28"/>
        </w:rPr>
        <w:t xml:space="preserve">Caution should be taken when starting an </w:t>
      </w:r>
      <w:proofErr w:type="spellStart"/>
      <w:r w:rsidRPr="004D6F87">
        <w:rPr>
          <w:rFonts w:ascii="Calibri" w:hAnsi="Calibri" w:cs="Arial"/>
          <w:sz w:val="28"/>
          <w:szCs w:val="28"/>
        </w:rPr>
        <w:t>ACEi</w:t>
      </w:r>
      <w:proofErr w:type="spellEnd"/>
      <w:r w:rsidRPr="004D6F87">
        <w:rPr>
          <w:rFonts w:ascii="Calibri" w:hAnsi="Calibri" w:cs="Arial"/>
          <w:sz w:val="28"/>
          <w:szCs w:val="28"/>
        </w:rPr>
        <w:t xml:space="preserve"> in all patients with renal failure.  Particular caution should be exercised in those patients with an </w:t>
      </w:r>
      <w:proofErr w:type="spellStart"/>
      <w:r w:rsidRPr="004D6F87">
        <w:rPr>
          <w:rFonts w:ascii="Calibri" w:hAnsi="Calibri" w:cs="Arial"/>
          <w:sz w:val="28"/>
          <w:szCs w:val="28"/>
        </w:rPr>
        <w:t>eGFR</w:t>
      </w:r>
      <w:proofErr w:type="spellEnd"/>
      <w:r w:rsidRPr="004D6F87">
        <w:rPr>
          <w:rFonts w:ascii="Calibri" w:hAnsi="Calibri" w:cs="Arial"/>
          <w:sz w:val="28"/>
          <w:szCs w:val="28"/>
        </w:rPr>
        <w:t xml:space="preserve"> below 20 who are not yet on dialysis.  They are especially prone to </w:t>
      </w:r>
      <w:proofErr w:type="spellStart"/>
      <w:r w:rsidRPr="004D6F87">
        <w:rPr>
          <w:rFonts w:ascii="Calibri" w:hAnsi="Calibri" w:cs="Arial"/>
          <w:sz w:val="28"/>
          <w:szCs w:val="28"/>
        </w:rPr>
        <w:t>hyperkalaemia</w:t>
      </w:r>
      <w:proofErr w:type="spellEnd"/>
      <w:r w:rsidRPr="004D6F87">
        <w:rPr>
          <w:rFonts w:ascii="Calibri" w:hAnsi="Calibri" w:cs="Arial"/>
          <w:sz w:val="28"/>
          <w:szCs w:val="28"/>
        </w:rPr>
        <w:t xml:space="preserve"> and introduction of an </w:t>
      </w:r>
      <w:proofErr w:type="spellStart"/>
      <w:r w:rsidRPr="004D6F87">
        <w:rPr>
          <w:rFonts w:ascii="Calibri" w:hAnsi="Calibri" w:cs="Arial"/>
          <w:sz w:val="28"/>
          <w:szCs w:val="28"/>
        </w:rPr>
        <w:t>ACEi</w:t>
      </w:r>
      <w:proofErr w:type="spellEnd"/>
      <w:r w:rsidRPr="004D6F87">
        <w:rPr>
          <w:rFonts w:ascii="Calibri" w:hAnsi="Calibri" w:cs="Arial"/>
          <w:sz w:val="28"/>
          <w:szCs w:val="28"/>
        </w:rPr>
        <w:t xml:space="preserve"> may lead to rapid deterioration of renal function and development of end stage renal failure.  It is, therefore, generally not advisable to commence </w:t>
      </w:r>
      <w:proofErr w:type="spellStart"/>
      <w:r w:rsidRPr="004D6F87">
        <w:rPr>
          <w:rFonts w:ascii="Calibri" w:hAnsi="Calibri" w:cs="Arial"/>
          <w:sz w:val="28"/>
          <w:szCs w:val="28"/>
        </w:rPr>
        <w:t>ACEi</w:t>
      </w:r>
      <w:proofErr w:type="spellEnd"/>
      <w:r w:rsidRPr="004D6F87">
        <w:rPr>
          <w:rFonts w:ascii="Calibri" w:hAnsi="Calibri" w:cs="Arial"/>
          <w:sz w:val="28"/>
          <w:szCs w:val="28"/>
        </w:rPr>
        <w:t xml:space="preserve"> therapy for patients with an </w:t>
      </w:r>
      <w:proofErr w:type="spellStart"/>
      <w:r w:rsidRPr="004D6F87">
        <w:rPr>
          <w:rFonts w:ascii="Calibri" w:hAnsi="Calibri" w:cs="Arial"/>
          <w:sz w:val="28"/>
          <w:szCs w:val="28"/>
        </w:rPr>
        <w:t>eGFR</w:t>
      </w:r>
      <w:proofErr w:type="spellEnd"/>
      <w:r w:rsidRPr="004D6F87">
        <w:rPr>
          <w:rFonts w:ascii="Calibri" w:hAnsi="Calibri" w:cs="Arial"/>
          <w:sz w:val="28"/>
          <w:szCs w:val="28"/>
        </w:rPr>
        <w:t xml:space="preserve"> below 20.  Renal function should be checked 1-2 weeks after starting treatment and after each dose increase.  Dose should be titrated up to the maximum tolerated dose in the community.  Blood pressure should be checked 4 weeks after a dose titration.</w:t>
      </w:r>
    </w:p>
    <w:p w:rsidR="004D6F87" w:rsidRDefault="004D6F87" w:rsidP="00054BAE">
      <w:pPr>
        <w:ind w:left="-142"/>
        <w:rPr>
          <w:rFonts w:ascii="Calibri" w:hAnsi="Calibri" w:cs="Arial"/>
          <w:sz w:val="28"/>
          <w:szCs w:val="28"/>
        </w:rPr>
      </w:pPr>
    </w:p>
    <w:p w:rsidR="00E4149D" w:rsidRPr="004D6F87" w:rsidRDefault="00E4149D" w:rsidP="00054BAE">
      <w:pPr>
        <w:ind w:left="-142"/>
        <w:rPr>
          <w:rFonts w:ascii="Calibri" w:hAnsi="Calibri" w:cs="Arial"/>
          <w:sz w:val="28"/>
          <w:szCs w:val="28"/>
        </w:rPr>
      </w:pPr>
    </w:p>
    <w:p w:rsidR="004D6F87" w:rsidRPr="00E4149D" w:rsidRDefault="004D6F87" w:rsidP="00054BAE">
      <w:pPr>
        <w:ind w:left="-142"/>
        <w:rPr>
          <w:rFonts w:ascii="Calibri" w:hAnsi="Calibri" w:cs="Arial"/>
          <w:b/>
          <w:sz w:val="28"/>
          <w:szCs w:val="28"/>
        </w:rPr>
      </w:pPr>
      <w:r w:rsidRPr="00E4149D">
        <w:rPr>
          <w:rFonts w:ascii="Calibri" w:hAnsi="Calibri" w:cs="Arial"/>
          <w:b/>
          <w:sz w:val="28"/>
          <w:szCs w:val="28"/>
        </w:rPr>
        <w:lastRenderedPageBreak/>
        <w:t>Further management:</w:t>
      </w:r>
    </w:p>
    <w:p w:rsidR="005F044B" w:rsidRPr="0035107A" w:rsidRDefault="004D6F87" w:rsidP="00E4149D">
      <w:pPr>
        <w:ind w:left="-142"/>
        <w:rPr>
          <w:rFonts w:ascii="Calibri" w:hAnsi="Calibri" w:cs="Arial"/>
          <w:sz w:val="28"/>
          <w:szCs w:val="28"/>
        </w:rPr>
      </w:pPr>
      <w:r w:rsidRPr="004D6F87">
        <w:rPr>
          <w:rFonts w:ascii="Calibri" w:hAnsi="Calibri" w:cs="Arial"/>
          <w:sz w:val="28"/>
          <w:szCs w:val="28"/>
        </w:rPr>
        <w:t xml:space="preserve">For all dialysis patients: Dialysis may put the heart under strain and following a confirmed MI all patients who are on dialysis should have their first dialysis session after the event </w:t>
      </w:r>
      <w:r w:rsidR="00E4149D">
        <w:rPr>
          <w:rFonts w:ascii="Calibri" w:hAnsi="Calibri" w:cs="Arial"/>
          <w:sz w:val="28"/>
          <w:szCs w:val="28"/>
        </w:rPr>
        <w:t xml:space="preserve">monitored carefully (usually on renal HDU with continuous cardiac rhythm monitor).  </w:t>
      </w:r>
    </w:p>
    <w:sectPr w:rsidR="005F044B" w:rsidRPr="0035107A" w:rsidSect="00F27F2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F0" w:rsidRDefault="00FB22F0">
      <w:r>
        <w:separator/>
      </w:r>
    </w:p>
  </w:endnote>
  <w:endnote w:type="continuationSeparator" w:id="0">
    <w:p w:rsidR="00FB22F0" w:rsidRDefault="00FB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19" w:rsidRDefault="00265B19" w:rsidP="00F80228">
    <w:pPr>
      <w:pStyle w:val="Footer"/>
      <w:jc w:val="right"/>
      <w:rPr>
        <w:rFonts w:ascii="Calibri" w:hAnsi="Calibri"/>
        <w:i/>
        <w:sz w:val="20"/>
        <w:szCs w:val="20"/>
      </w:rPr>
    </w:pPr>
    <w:r w:rsidRPr="00186DAC">
      <w:rPr>
        <w:rFonts w:ascii="Calibri" w:hAnsi="Calibri"/>
        <w:b/>
        <w:i/>
        <w:sz w:val="20"/>
        <w:szCs w:val="20"/>
      </w:rPr>
      <w:t>W</w:t>
    </w:r>
    <w:r w:rsidR="0098553F" w:rsidRPr="00186DAC">
      <w:rPr>
        <w:rFonts w:ascii="Calibri" w:hAnsi="Calibri"/>
        <w:b/>
        <w:i/>
        <w:sz w:val="20"/>
        <w:szCs w:val="20"/>
      </w:rPr>
      <w:t xml:space="preserve">ritten by: </w:t>
    </w:r>
    <w:r w:rsidR="001B7CBB">
      <w:rPr>
        <w:rFonts w:ascii="Calibri" w:hAnsi="Calibri"/>
        <w:i/>
        <w:sz w:val="20"/>
        <w:szCs w:val="20"/>
      </w:rPr>
      <w:t xml:space="preserve">Matthew </w:t>
    </w:r>
    <w:proofErr w:type="spellStart"/>
    <w:r w:rsidR="001B7CBB">
      <w:rPr>
        <w:rFonts w:ascii="Calibri" w:hAnsi="Calibri"/>
        <w:i/>
        <w:sz w:val="20"/>
        <w:szCs w:val="20"/>
      </w:rPr>
      <w:t>Sayer</w:t>
    </w:r>
    <w:proofErr w:type="spellEnd"/>
    <w:r w:rsidR="001B7CBB">
      <w:rPr>
        <w:rFonts w:ascii="Calibri" w:hAnsi="Calibri"/>
        <w:i/>
        <w:sz w:val="20"/>
        <w:szCs w:val="20"/>
      </w:rPr>
      <w:t xml:space="preserve"> &amp; Liz </w:t>
    </w:r>
    <w:proofErr w:type="spellStart"/>
    <w:r w:rsidR="001B7CBB">
      <w:rPr>
        <w:rFonts w:ascii="Calibri" w:hAnsi="Calibri"/>
        <w:i/>
        <w:sz w:val="20"/>
        <w:szCs w:val="20"/>
      </w:rPr>
      <w:t>Hird</w:t>
    </w:r>
    <w:proofErr w:type="spellEnd"/>
  </w:p>
  <w:p w:rsidR="00265B19" w:rsidRDefault="00265B19" w:rsidP="00F80228">
    <w:pPr>
      <w:pStyle w:val="Footer"/>
      <w:jc w:val="right"/>
      <w:rPr>
        <w:rFonts w:ascii="Calibri" w:hAnsi="Calibri"/>
        <w:i/>
        <w:sz w:val="20"/>
        <w:szCs w:val="20"/>
      </w:rPr>
    </w:pPr>
    <w:r w:rsidRPr="00186DAC">
      <w:rPr>
        <w:rFonts w:ascii="Calibri" w:hAnsi="Calibri"/>
        <w:b/>
        <w:i/>
        <w:sz w:val="20"/>
        <w:szCs w:val="20"/>
      </w:rPr>
      <w:t>Reviewed by</w:t>
    </w:r>
    <w:r w:rsidR="0098553F" w:rsidRPr="00186DAC">
      <w:rPr>
        <w:rFonts w:ascii="Calibri" w:hAnsi="Calibri"/>
        <w:b/>
        <w:i/>
        <w:sz w:val="20"/>
        <w:szCs w:val="20"/>
      </w:rPr>
      <w:t>:</w:t>
    </w:r>
    <w:r w:rsidR="0098553F">
      <w:rPr>
        <w:rFonts w:ascii="Calibri" w:hAnsi="Calibri"/>
        <w:i/>
        <w:sz w:val="20"/>
        <w:szCs w:val="20"/>
      </w:rPr>
      <w:t xml:space="preserve"> </w:t>
    </w:r>
    <w:r w:rsidR="001B7CBB">
      <w:rPr>
        <w:rFonts w:ascii="Calibri" w:hAnsi="Calibri"/>
        <w:i/>
        <w:sz w:val="20"/>
        <w:szCs w:val="20"/>
      </w:rPr>
      <w:t>Maggie Davidson</w:t>
    </w:r>
    <w:r w:rsidR="0098553F">
      <w:rPr>
        <w:rFonts w:ascii="Calibri" w:hAnsi="Calibri"/>
        <w:i/>
        <w:sz w:val="20"/>
        <w:szCs w:val="20"/>
      </w:rPr>
      <w:t>,</w:t>
    </w:r>
    <w:r>
      <w:rPr>
        <w:rFonts w:ascii="Calibri" w:hAnsi="Calibri"/>
        <w:i/>
        <w:sz w:val="20"/>
        <w:szCs w:val="20"/>
      </w:rPr>
      <w:t xml:space="preserve"> Renal Pharmacist</w:t>
    </w:r>
  </w:p>
  <w:p w:rsidR="00265B19" w:rsidRDefault="0098553F" w:rsidP="00F80228">
    <w:pPr>
      <w:pStyle w:val="Footer"/>
      <w:jc w:val="right"/>
      <w:rPr>
        <w:rFonts w:ascii="Calibri" w:hAnsi="Calibri"/>
        <w:i/>
        <w:sz w:val="20"/>
        <w:szCs w:val="20"/>
      </w:rPr>
    </w:pPr>
    <w:r w:rsidRPr="00186DAC">
      <w:rPr>
        <w:rFonts w:ascii="Calibri" w:hAnsi="Calibri"/>
        <w:b/>
        <w:i/>
        <w:sz w:val="20"/>
        <w:szCs w:val="20"/>
      </w:rPr>
      <w:t>Date written:</w:t>
    </w:r>
    <w:r>
      <w:rPr>
        <w:rFonts w:ascii="Calibri" w:hAnsi="Calibri"/>
        <w:i/>
        <w:sz w:val="20"/>
        <w:szCs w:val="20"/>
      </w:rPr>
      <w:t xml:space="preserve"> </w:t>
    </w:r>
    <w:r w:rsidR="001B7CBB">
      <w:rPr>
        <w:rFonts w:ascii="Calibri" w:hAnsi="Calibri"/>
        <w:i/>
        <w:sz w:val="20"/>
        <w:szCs w:val="20"/>
      </w:rPr>
      <w:t>Oct</w:t>
    </w:r>
    <w:r w:rsidR="00186DAC">
      <w:rPr>
        <w:rFonts w:ascii="Calibri" w:hAnsi="Calibri"/>
        <w:i/>
        <w:sz w:val="20"/>
        <w:szCs w:val="20"/>
      </w:rPr>
      <w:t xml:space="preserve"> 2022</w:t>
    </w:r>
  </w:p>
  <w:p w:rsidR="00265B19" w:rsidRDefault="00186DAC" w:rsidP="00F80228">
    <w:pPr>
      <w:pStyle w:val="Footer"/>
      <w:jc w:val="right"/>
      <w:rPr>
        <w:rFonts w:ascii="Calibri" w:hAnsi="Calibri"/>
        <w:i/>
        <w:sz w:val="20"/>
        <w:szCs w:val="20"/>
      </w:rPr>
    </w:pPr>
    <w:r>
      <w:rPr>
        <w:rFonts w:ascii="Calibri" w:hAnsi="Calibri"/>
        <w:b/>
        <w:i/>
        <w:sz w:val="20"/>
        <w:szCs w:val="20"/>
      </w:rPr>
      <w:t>Next Review Due</w:t>
    </w:r>
    <w:r w:rsidR="0098553F" w:rsidRPr="00186DAC">
      <w:rPr>
        <w:rFonts w:ascii="Calibri" w:hAnsi="Calibri"/>
        <w:b/>
        <w:i/>
        <w:sz w:val="20"/>
        <w:szCs w:val="20"/>
      </w:rPr>
      <w:t>:</w:t>
    </w:r>
    <w:r>
      <w:rPr>
        <w:rFonts w:ascii="Calibri" w:hAnsi="Calibri"/>
        <w:i/>
        <w:sz w:val="20"/>
        <w:szCs w:val="20"/>
      </w:rPr>
      <w:t xml:space="preserve"> </w:t>
    </w:r>
    <w:r w:rsidR="001B7CBB">
      <w:rPr>
        <w:rFonts w:ascii="Calibri" w:hAnsi="Calibri"/>
        <w:i/>
        <w:sz w:val="20"/>
        <w:szCs w:val="20"/>
      </w:rPr>
      <w:t>Oct</w:t>
    </w:r>
    <w:r>
      <w:rPr>
        <w:rFonts w:ascii="Calibri" w:hAnsi="Calibri"/>
        <w:i/>
        <w:sz w:val="20"/>
        <w:szCs w:val="20"/>
      </w:rPr>
      <w:t xml:space="preserve"> 2025</w:t>
    </w:r>
  </w:p>
  <w:p w:rsidR="00265B19" w:rsidRPr="00F80228" w:rsidRDefault="00265B19" w:rsidP="00F80228">
    <w:pPr>
      <w:pStyle w:val="Footer"/>
      <w:jc w:val="right"/>
      <w:rPr>
        <w:rFonts w:ascii="Calibri" w:hAnsi="Calibr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F0" w:rsidRDefault="00FB22F0">
      <w:r>
        <w:separator/>
      </w:r>
    </w:p>
  </w:footnote>
  <w:footnote w:type="continuationSeparator" w:id="0">
    <w:p w:rsidR="00FB22F0" w:rsidRDefault="00FB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4E12"/>
    <w:multiLevelType w:val="hybridMultilevel"/>
    <w:tmpl w:val="8FB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7A6E"/>
    <w:multiLevelType w:val="hybridMultilevel"/>
    <w:tmpl w:val="3AD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B51AA"/>
    <w:multiLevelType w:val="hybridMultilevel"/>
    <w:tmpl w:val="70108C3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CCC7274"/>
    <w:multiLevelType w:val="hybridMultilevel"/>
    <w:tmpl w:val="75C8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96497"/>
    <w:multiLevelType w:val="hybridMultilevel"/>
    <w:tmpl w:val="9156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A34B1"/>
    <w:multiLevelType w:val="hybridMultilevel"/>
    <w:tmpl w:val="413E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D759E"/>
    <w:multiLevelType w:val="hybridMultilevel"/>
    <w:tmpl w:val="0A84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3E6E3F"/>
    <w:multiLevelType w:val="hybridMultilevel"/>
    <w:tmpl w:val="5CB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5107A"/>
    <w:rsid w:val="00054BAE"/>
    <w:rsid w:val="00082BBD"/>
    <w:rsid w:val="00091619"/>
    <w:rsid w:val="000C15F1"/>
    <w:rsid w:val="000E6548"/>
    <w:rsid w:val="000E6E80"/>
    <w:rsid w:val="00160F26"/>
    <w:rsid w:val="00162578"/>
    <w:rsid w:val="00186DAC"/>
    <w:rsid w:val="00190C0E"/>
    <w:rsid w:val="001A0FE3"/>
    <w:rsid w:val="001B6582"/>
    <w:rsid w:val="001B7CBB"/>
    <w:rsid w:val="001F184C"/>
    <w:rsid w:val="00202975"/>
    <w:rsid w:val="00265B19"/>
    <w:rsid w:val="00286AA7"/>
    <w:rsid w:val="00293B7B"/>
    <w:rsid w:val="002A1B2B"/>
    <w:rsid w:val="002D460B"/>
    <w:rsid w:val="003407C5"/>
    <w:rsid w:val="00342D85"/>
    <w:rsid w:val="00350B93"/>
    <w:rsid w:val="0035107A"/>
    <w:rsid w:val="0036517C"/>
    <w:rsid w:val="003A6E9E"/>
    <w:rsid w:val="003B4A19"/>
    <w:rsid w:val="00435BBF"/>
    <w:rsid w:val="004427A4"/>
    <w:rsid w:val="00462756"/>
    <w:rsid w:val="004D6F87"/>
    <w:rsid w:val="004E6F1D"/>
    <w:rsid w:val="005852F5"/>
    <w:rsid w:val="005B056B"/>
    <w:rsid w:val="005B5F97"/>
    <w:rsid w:val="005B6146"/>
    <w:rsid w:val="005C698A"/>
    <w:rsid w:val="005F044B"/>
    <w:rsid w:val="00615CF2"/>
    <w:rsid w:val="0062055E"/>
    <w:rsid w:val="00653258"/>
    <w:rsid w:val="00665703"/>
    <w:rsid w:val="00710221"/>
    <w:rsid w:val="00743E14"/>
    <w:rsid w:val="00753EE1"/>
    <w:rsid w:val="00757560"/>
    <w:rsid w:val="007639D7"/>
    <w:rsid w:val="007A7E70"/>
    <w:rsid w:val="007E270E"/>
    <w:rsid w:val="007F1988"/>
    <w:rsid w:val="008067C9"/>
    <w:rsid w:val="008145BE"/>
    <w:rsid w:val="00823D6C"/>
    <w:rsid w:val="00837406"/>
    <w:rsid w:val="00843EEA"/>
    <w:rsid w:val="008619E3"/>
    <w:rsid w:val="00870C3D"/>
    <w:rsid w:val="008776DE"/>
    <w:rsid w:val="008A5BA6"/>
    <w:rsid w:val="008A6538"/>
    <w:rsid w:val="008C2429"/>
    <w:rsid w:val="008C7A93"/>
    <w:rsid w:val="008C7B2E"/>
    <w:rsid w:val="008D568E"/>
    <w:rsid w:val="008E09CB"/>
    <w:rsid w:val="008F40E0"/>
    <w:rsid w:val="009007B7"/>
    <w:rsid w:val="009463FF"/>
    <w:rsid w:val="00972E28"/>
    <w:rsid w:val="0098553F"/>
    <w:rsid w:val="009E3084"/>
    <w:rsid w:val="009E30D2"/>
    <w:rsid w:val="00A02115"/>
    <w:rsid w:val="00A04FB3"/>
    <w:rsid w:val="00A34F56"/>
    <w:rsid w:val="00A378FB"/>
    <w:rsid w:val="00A4303E"/>
    <w:rsid w:val="00A71505"/>
    <w:rsid w:val="00A85095"/>
    <w:rsid w:val="00A8712D"/>
    <w:rsid w:val="00AE3CD2"/>
    <w:rsid w:val="00B13A0F"/>
    <w:rsid w:val="00B62256"/>
    <w:rsid w:val="00B85BAC"/>
    <w:rsid w:val="00BA2823"/>
    <w:rsid w:val="00BC42D0"/>
    <w:rsid w:val="00BF44DD"/>
    <w:rsid w:val="00BF70E6"/>
    <w:rsid w:val="00C305F6"/>
    <w:rsid w:val="00CA1BC0"/>
    <w:rsid w:val="00CB5503"/>
    <w:rsid w:val="00CE4E83"/>
    <w:rsid w:val="00D20563"/>
    <w:rsid w:val="00D61F18"/>
    <w:rsid w:val="00D7277C"/>
    <w:rsid w:val="00E12BDD"/>
    <w:rsid w:val="00E35485"/>
    <w:rsid w:val="00E4149D"/>
    <w:rsid w:val="00E5750E"/>
    <w:rsid w:val="00E6232B"/>
    <w:rsid w:val="00EA5478"/>
    <w:rsid w:val="00EB1224"/>
    <w:rsid w:val="00ED237E"/>
    <w:rsid w:val="00EE45BC"/>
    <w:rsid w:val="00F01B82"/>
    <w:rsid w:val="00F27F20"/>
    <w:rsid w:val="00F80228"/>
    <w:rsid w:val="00FA3A96"/>
    <w:rsid w:val="00FB22F0"/>
    <w:rsid w:val="00FC6D89"/>
    <w:rsid w:val="00FE1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228"/>
    <w:pPr>
      <w:tabs>
        <w:tab w:val="center" w:pos="4153"/>
        <w:tab w:val="right" w:pos="8306"/>
      </w:tabs>
    </w:pPr>
  </w:style>
  <w:style w:type="character" w:customStyle="1" w:styleId="HeaderChar">
    <w:name w:val="Header Char"/>
    <w:basedOn w:val="DefaultParagraphFont"/>
    <w:link w:val="Header"/>
    <w:uiPriority w:val="99"/>
    <w:rsid w:val="00571DC3"/>
    <w:rPr>
      <w:sz w:val="24"/>
      <w:szCs w:val="24"/>
      <w:lang w:eastAsia="en-US"/>
    </w:rPr>
  </w:style>
  <w:style w:type="paragraph" w:styleId="Footer">
    <w:name w:val="footer"/>
    <w:basedOn w:val="Normal"/>
    <w:link w:val="FooterChar"/>
    <w:uiPriority w:val="99"/>
    <w:rsid w:val="00F80228"/>
    <w:pPr>
      <w:tabs>
        <w:tab w:val="center" w:pos="4153"/>
        <w:tab w:val="right" w:pos="8306"/>
      </w:tabs>
    </w:pPr>
  </w:style>
  <w:style w:type="character" w:customStyle="1" w:styleId="FooterChar">
    <w:name w:val="Footer Char"/>
    <w:basedOn w:val="DefaultParagraphFont"/>
    <w:link w:val="Footer"/>
    <w:uiPriority w:val="99"/>
    <w:semiHidden/>
    <w:rsid w:val="00571DC3"/>
    <w:rPr>
      <w:sz w:val="24"/>
      <w:szCs w:val="24"/>
      <w:lang w:eastAsia="en-US"/>
    </w:rPr>
  </w:style>
  <w:style w:type="paragraph" w:styleId="ListParagraph">
    <w:name w:val="List Paragraph"/>
    <w:basedOn w:val="Normal"/>
    <w:uiPriority w:val="34"/>
    <w:qFormat/>
    <w:rsid w:val="00162578"/>
    <w:pPr>
      <w:ind w:left="720"/>
      <w:contextualSpacing/>
    </w:pPr>
  </w:style>
  <w:style w:type="paragraph" w:styleId="BlockText">
    <w:name w:val="Block Text"/>
    <w:basedOn w:val="Normal"/>
    <w:uiPriority w:val="99"/>
    <w:rsid w:val="00E5750E"/>
    <w:pPr>
      <w:tabs>
        <w:tab w:val="left" w:pos="1080"/>
      </w:tabs>
      <w:ind w:left="720" w:right="386"/>
      <w:jc w:val="both"/>
    </w:pPr>
  </w:style>
  <w:style w:type="paragraph" w:styleId="BalloonText">
    <w:name w:val="Balloon Text"/>
    <w:basedOn w:val="Normal"/>
    <w:link w:val="BalloonTextChar"/>
    <w:rsid w:val="00972E28"/>
    <w:rPr>
      <w:rFonts w:ascii="Tahoma" w:hAnsi="Tahoma" w:cs="Tahoma"/>
      <w:sz w:val="16"/>
      <w:szCs w:val="16"/>
    </w:rPr>
  </w:style>
  <w:style w:type="character" w:customStyle="1" w:styleId="BalloonTextChar">
    <w:name w:val="Balloon Text Char"/>
    <w:basedOn w:val="DefaultParagraphFont"/>
    <w:link w:val="BalloonText"/>
    <w:rsid w:val="00972E28"/>
    <w:rPr>
      <w:rFonts w:ascii="Tahoma" w:hAnsi="Tahoma" w:cs="Tahoma"/>
      <w:sz w:val="16"/>
      <w:szCs w:val="16"/>
      <w:lang w:eastAsia="en-US"/>
    </w:rPr>
  </w:style>
  <w:style w:type="table" w:styleId="TableGrid">
    <w:name w:val="Table Grid"/>
    <w:basedOn w:val="TableNormal"/>
    <w:uiPriority w:val="59"/>
    <w:rsid w:val="00054B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27665">
      <w:bodyDiv w:val="1"/>
      <w:marLeft w:val="0"/>
      <w:marRight w:val="0"/>
      <w:marTop w:val="0"/>
      <w:marBottom w:val="0"/>
      <w:divBdr>
        <w:top w:val="none" w:sz="0" w:space="0" w:color="auto"/>
        <w:left w:val="none" w:sz="0" w:space="0" w:color="auto"/>
        <w:bottom w:val="none" w:sz="0" w:space="0" w:color="auto"/>
        <w:right w:val="none" w:sz="0" w:space="0" w:color="auto"/>
      </w:divBdr>
      <w:divsChild>
        <w:div w:id="430662567">
          <w:marLeft w:val="0"/>
          <w:marRight w:val="0"/>
          <w:marTop w:val="0"/>
          <w:marBottom w:val="0"/>
          <w:divBdr>
            <w:top w:val="none" w:sz="0" w:space="0" w:color="auto"/>
            <w:left w:val="none" w:sz="0" w:space="0" w:color="auto"/>
            <w:bottom w:val="none" w:sz="0" w:space="0" w:color="auto"/>
            <w:right w:val="none" w:sz="0" w:space="0" w:color="auto"/>
          </w:divBdr>
          <w:divsChild>
            <w:div w:id="195771984">
              <w:marLeft w:val="-225"/>
              <w:marRight w:val="-225"/>
              <w:marTop w:val="0"/>
              <w:marBottom w:val="0"/>
              <w:divBdr>
                <w:top w:val="none" w:sz="0" w:space="0" w:color="auto"/>
                <w:left w:val="none" w:sz="0" w:space="0" w:color="auto"/>
                <w:bottom w:val="none" w:sz="0" w:space="0" w:color="auto"/>
                <w:right w:val="none" w:sz="0" w:space="0" w:color="auto"/>
              </w:divBdr>
              <w:divsChild>
                <w:div w:id="1113746740">
                  <w:marLeft w:val="0"/>
                  <w:marRight w:val="0"/>
                  <w:marTop w:val="0"/>
                  <w:marBottom w:val="0"/>
                  <w:divBdr>
                    <w:top w:val="none" w:sz="0" w:space="0" w:color="auto"/>
                    <w:left w:val="none" w:sz="0" w:space="0" w:color="auto"/>
                    <w:bottom w:val="none" w:sz="0" w:space="0" w:color="auto"/>
                    <w:right w:val="none" w:sz="0" w:space="0" w:color="auto"/>
                  </w:divBdr>
                  <w:divsChild>
                    <w:div w:id="1665426617">
                      <w:marLeft w:val="0"/>
                      <w:marRight w:val="0"/>
                      <w:marTop w:val="0"/>
                      <w:marBottom w:val="0"/>
                      <w:divBdr>
                        <w:top w:val="none" w:sz="0" w:space="0" w:color="auto"/>
                        <w:left w:val="none" w:sz="0" w:space="0" w:color="auto"/>
                        <w:bottom w:val="none" w:sz="0" w:space="0" w:color="auto"/>
                        <w:right w:val="none" w:sz="0" w:space="0" w:color="auto"/>
                      </w:divBdr>
                      <w:divsChild>
                        <w:div w:id="1119955179">
                          <w:marLeft w:val="0"/>
                          <w:marRight w:val="0"/>
                          <w:marTop w:val="0"/>
                          <w:marBottom w:val="0"/>
                          <w:divBdr>
                            <w:top w:val="none" w:sz="0" w:space="0" w:color="auto"/>
                            <w:left w:val="none" w:sz="0" w:space="0" w:color="auto"/>
                            <w:bottom w:val="none" w:sz="0" w:space="0" w:color="auto"/>
                            <w:right w:val="none" w:sz="0" w:space="0" w:color="auto"/>
                          </w:divBdr>
                          <w:divsChild>
                            <w:div w:id="1347100909">
                              <w:marLeft w:val="0"/>
                              <w:marRight w:val="0"/>
                              <w:marTop w:val="0"/>
                              <w:marBottom w:val="0"/>
                              <w:divBdr>
                                <w:top w:val="none" w:sz="0" w:space="0" w:color="auto"/>
                                <w:left w:val="none" w:sz="0" w:space="0" w:color="auto"/>
                                <w:bottom w:val="none" w:sz="0" w:space="0" w:color="auto"/>
                                <w:right w:val="none" w:sz="0" w:space="0" w:color="auto"/>
                              </w:divBdr>
                              <w:divsChild>
                                <w:div w:id="297730781">
                                  <w:marLeft w:val="0"/>
                                  <w:marRight w:val="0"/>
                                  <w:marTop w:val="0"/>
                                  <w:marBottom w:val="0"/>
                                  <w:divBdr>
                                    <w:top w:val="none" w:sz="0" w:space="0" w:color="auto"/>
                                    <w:left w:val="none" w:sz="0" w:space="0" w:color="auto"/>
                                    <w:bottom w:val="none" w:sz="0" w:space="0" w:color="auto"/>
                                    <w:right w:val="none" w:sz="0" w:space="0" w:color="auto"/>
                                  </w:divBdr>
                                  <w:divsChild>
                                    <w:div w:id="1667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698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Vascular Surgery guidelines</vt:lpstr>
    </vt:vector>
  </TitlesOfParts>
  <Company>LUHD</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Surgery guidelines</dc:title>
  <dc:creator>jinwerne.hah</dc:creator>
  <cp:lastModifiedBy>robert.w.hunter</cp:lastModifiedBy>
  <cp:revision>9</cp:revision>
  <cp:lastPrinted>2017-05-31T17:21:00Z</cp:lastPrinted>
  <dcterms:created xsi:type="dcterms:W3CDTF">2022-09-12T12:07:00Z</dcterms:created>
  <dcterms:modified xsi:type="dcterms:W3CDTF">2022-10-10T12:26:00Z</dcterms:modified>
</cp:coreProperties>
</file>