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7"/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F044B" w:rsidTr="003141D2">
        <w:trPr>
          <w:trHeight w:val="993"/>
        </w:trPr>
        <w:tc>
          <w:tcPr>
            <w:tcW w:w="9747" w:type="dxa"/>
          </w:tcPr>
          <w:p w:rsidR="005F044B" w:rsidRDefault="005F044B" w:rsidP="00972E28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Renal Directorate Guidelines</w:t>
            </w:r>
          </w:p>
          <w:p w:rsidR="005F044B" w:rsidRPr="00972E28" w:rsidRDefault="005F044B" w:rsidP="00F27F20">
            <w:pPr>
              <w:ind w:right="-433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Royal Infirmary of Edinburgh</w:t>
            </w:r>
          </w:p>
        </w:tc>
      </w:tr>
    </w:tbl>
    <w:p w:rsidR="00A04FB3" w:rsidRPr="002B626E" w:rsidRDefault="003141D2" w:rsidP="002B626E">
      <w:pPr>
        <w:ind w:left="-142"/>
        <w:rPr>
          <w:rFonts w:ascii="Calibri" w:hAnsi="Calibri" w:cs="Arial"/>
          <w:b/>
          <w:sz w:val="16"/>
          <w:szCs w:val="16"/>
        </w:rPr>
      </w:pPr>
      <w:r w:rsidRPr="003141D2">
        <w:rPr>
          <w:rFonts w:ascii="Calibri" w:hAnsi="Calibri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-334010</wp:posOffset>
            </wp:positionV>
            <wp:extent cx="755650" cy="598805"/>
            <wp:effectExtent l="19050" t="0" r="6350" b="0"/>
            <wp:wrapTight wrapText="bothSides">
              <wp:wrapPolygon edited="0">
                <wp:start x="-545" y="0"/>
                <wp:lineTo x="-545" y="20615"/>
                <wp:lineTo x="21782" y="20615"/>
                <wp:lineTo x="21782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043" b="8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page" w:tblpXSpec="center" w:tblpY="480"/>
        <w:tblW w:w="10409" w:type="dxa"/>
        <w:jc w:val="center"/>
        <w:tblLayout w:type="fixed"/>
        <w:tblLook w:val="01E0"/>
      </w:tblPr>
      <w:tblGrid>
        <w:gridCol w:w="10173"/>
        <w:gridCol w:w="236"/>
      </w:tblGrid>
      <w:tr w:rsidR="002B626E" w:rsidTr="00100DBC">
        <w:trPr>
          <w:jc w:val="center"/>
        </w:trPr>
        <w:tc>
          <w:tcPr>
            <w:tcW w:w="10173" w:type="dxa"/>
          </w:tcPr>
          <w:tbl>
            <w:tblPr>
              <w:tblpPr w:leftFromText="180" w:rightFromText="180" w:vertAnchor="text" w:horzAnchor="margin" w:tblpY="965"/>
              <w:tblOverlap w:val="never"/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80"/>
              <w:gridCol w:w="8085"/>
            </w:tblGrid>
            <w:tr w:rsidR="002B626E" w:rsidRPr="009013C9" w:rsidTr="00100DBC">
              <w:trPr>
                <w:trHeight w:val="897"/>
              </w:trPr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Indication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8"/>
                    </w:numPr>
                    <w:ind w:left="388"/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Empirical antibiotic (with </w:t>
                  </w:r>
                  <w:proofErr w:type="spellStart"/>
                  <w:r w:rsidRPr="009013C9">
                    <w:rPr>
                      <w:rFonts w:ascii="Calibri" w:hAnsi="Calibri" w:cs="Arial"/>
                    </w:rPr>
                    <w:t>vancomycin</w:t>
                  </w:r>
                  <w:proofErr w:type="spellEnd"/>
                  <w:r w:rsidRPr="009013C9">
                    <w:rPr>
                      <w:rFonts w:ascii="Calibri" w:hAnsi="Calibri" w:cs="Arial"/>
                    </w:rPr>
                    <w:t>) for line sepsis (review ongoing need when culture results are available)</w:t>
                  </w:r>
                </w:p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8"/>
                    </w:numPr>
                    <w:ind w:left="388"/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>All other indications as per NHS Lothian Antimicrobial guideline</w:t>
                  </w:r>
                </w:p>
              </w:tc>
            </w:tr>
            <w:tr w:rsidR="002B626E" w:rsidRPr="009013C9" w:rsidTr="00100DBC"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Dosage and administration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6E1408" w:rsidRDefault="002B626E" w:rsidP="00100DBC">
                  <w:pPr>
                    <w:ind w:left="105"/>
                    <w:jc w:val="center"/>
                    <w:rPr>
                      <w:rFonts w:ascii="Calibri" w:hAnsi="Calibri" w:cs="Arial"/>
                      <w:b/>
                      <w:color w:val="FF0000"/>
                      <w:sz w:val="28"/>
                    </w:rPr>
                  </w:pPr>
                  <w:r w:rsidRPr="006E1408">
                    <w:rPr>
                      <w:rFonts w:ascii="Calibri" w:hAnsi="Calibri" w:cs="Arial"/>
                      <w:b/>
                      <w:color w:val="FF0000"/>
                      <w:sz w:val="28"/>
                    </w:rPr>
                    <w:t xml:space="preserve">** Do NOT use </w:t>
                  </w:r>
                  <w:proofErr w:type="spellStart"/>
                  <w:r w:rsidRPr="006E1408">
                    <w:rPr>
                      <w:rFonts w:ascii="Calibri" w:hAnsi="Calibri" w:cs="Arial"/>
                      <w:b/>
                      <w:color w:val="FF0000"/>
                      <w:sz w:val="28"/>
                    </w:rPr>
                    <w:t>Gentamicin</w:t>
                  </w:r>
                  <w:proofErr w:type="spellEnd"/>
                  <w:r w:rsidRPr="006E1408">
                    <w:rPr>
                      <w:rFonts w:ascii="Calibri" w:hAnsi="Calibri" w:cs="Arial"/>
                      <w:b/>
                      <w:color w:val="FF0000"/>
                      <w:sz w:val="28"/>
                    </w:rPr>
                    <w:t xml:space="preserve"> Calculator on the Intranet **</w:t>
                  </w:r>
                </w:p>
                <w:p w:rsidR="002B626E" w:rsidRPr="009013C9" w:rsidRDefault="002B626E" w:rsidP="00100DBC">
                  <w:pPr>
                    <w:ind w:left="105"/>
                    <w:jc w:val="center"/>
                    <w:rPr>
                      <w:rFonts w:ascii="Calibri" w:hAnsi="Calibri" w:cs="Arial"/>
                      <w:b/>
                      <w:i/>
                    </w:rPr>
                  </w:pP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>Dose – 2mg/kg (up to a maximum of 180mg).</w:t>
                  </w: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</w:p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8"/>
                    </w:numPr>
                    <w:ind w:left="317" w:hanging="284"/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Please use </w:t>
                  </w:r>
                  <w:r w:rsidRPr="009013C9">
                    <w:rPr>
                      <w:rFonts w:ascii="Calibri" w:hAnsi="Calibri" w:cs="Arial"/>
                      <w:b/>
                    </w:rPr>
                    <w:t>dry weight</w:t>
                  </w:r>
                  <w:r w:rsidRPr="009013C9">
                    <w:rPr>
                      <w:rFonts w:ascii="Calibri" w:hAnsi="Calibri" w:cs="Arial"/>
                    </w:rPr>
                    <w:t>. This is particularly important in patients with oedema.</w:t>
                  </w:r>
                </w:p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8"/>
                    </w:numPr>
                    <w:ind w:left="317" w:hanging="284"/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Where possible, please administer via dialysis access at the end of dialysis. </w:t>
                  </w:r>
                </w:p>
              </w:tc>
            </w:tr>
            <w:tr w:rsidR="002B626E" w:rsidRPr="009013C9" w:rsidTr="00100DBC"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Concentration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>80mg/2ml or diluted for infusion</w:t>
                  </w:r>
                </w:p>
              </w:tc>
            </w:tr>
            <w:tr w:rsidR="002B626E" w:rsidRPr="009013C9" w:rsidTr="00100DBC">
              <w:trPr>
                <w:trHeight w:val="380"/>
              </w:trPr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Stability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>Please use reconstituted solution as soon as possible.</w:t>
                  </w:r>
                </w:p>
              </w:tc>
            </w:tr>
            <w:tr w:rsidR="002B626E" w:rsidRPr="009013C9" w:rsidTr="00100DBC">
              <w:trPr>
                <w:trHeight w:val="1640"/>
              </w:trPr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Reconstitution instructions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IV injection - to be administered over 5 minutes</w:t>
                  </w: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Can be given undiluted (40mg/ml) or diluted in 10-20ml of 0.9% </w:t>
                  </w:r>
                  <w:proofErr w:type="spellStart"/>
                  <w:r w:rsidRPr="009013C9">
                    <w:rPr>
                      <w:rFonts w:ascii="Calibri" w:hAnsi="Calibri" w:cs="Arial"/>
                    </w:rPr>
                    <w:t>NaCl</w:t>
                  </w:r>
                  <w:proofErr w:type="spellEnd"/>
                  <w:r w:rsidRPr="009013C9">
                    <w:rPr>
                      <w:rFonts w:ascii="Calibri" w:hAnsi="Calibri" w:cs="Arial"/>
                    </w:rPr>
                    <w:t xml:space="preserve"> or 5% Dextrose to aid slow bolus injection.</w:t>
                  </w:r>
                  <w:r w:rsidRPr="009013C9">
                    <w:rPr>
                      <w:rFonts w:ascii="Calibri" w:hAnsi="Calibri" w:cs="Arial"/>
                    </w:rPr>
                    <w:br/>
                    <w:t xml:space="preserve">  </w:t>
                  </w: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IV infusion - to be infused over 20 minutes</w:t>
                  </w: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Dilute in 100ml of 0.9% </w:t>
                  </w:r>
                  <w:proofErr w:type="spellStart"/>
                  <w:r w:rsidRPr="009013C9">
                    <w:rPr>
                      <w:rFonts w:ascii="Calibri" w:hAnsi="Calibri" w:cs="Arial"/>
                    </w:rPr>
                    <w:t>NaCl</w:t>
                  </w:r>
                  <w:proofErr w:type="spellEnd"/>
                  <w:r w:rsidRPr="009013C9">
                    <w:rPr>
                      <w:rFonts w:ascii="Calibri" w:hAnsi="Calibri" w:cs="Arial"/>
                    </w:rPr>
                    <w:t xml:space="preserve"> or 5% Dextrose</w:t>
                  </w:r>
                </w:p>
              </w:tc>
            </w:tr>
            <w:tr w:rsidR="002B626E" w:rsidRPr="009013C9" w:rsidTr="00100DBC"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Monitoring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For new patients starting on </w:t>
                  </w:r>
                  <w:proofErr w:type="spellStart"/>
                  <w:r w:rsidRPr="009013C9">
                    <w:rPr>
                      <w:rFonts w:ascii="Calibri" w:hAnsi="Calibri" w:cs="Arial"/>
                    </w:rPr>
                    <w:t>gentamicin</w:t>
                  </w:r>
                  <w:proofErr w:type="spellEnd"/>
                  <w:r w:rsidRPr="009013C9">
                    <w:rPr>
                      <w:rFonts w:ascii="Calibri" w:hAnsi="Calibri" w:cs="Arial"/>
                    </w:rPr>
                    <w:t xml:space="preserve">, a pre-dialysis level is </w:t>
                  </w:r>
                  <w:r w:rsidRPr="009013C9">
                    <w:rPr>
                      <w:rFonts w:ascii="Calibri" w:hAnsi="Calibri" w:cs="Arial"/>
                      <w:u w:val="single"/>
                    </w:rPr>
                    <w:t>not</w:t>
                  </w:r>
                  <w:r w:rsidRPr="009013C9">
                    <w:rPr>
                      <w:rFonts w:ascii="Calibri" w:hAnsi="Calibri" w:cs="Arial"/>
                    </w:rPr>
                    <w:t xml:space="preserve"> required prior to the first dose.</w:t>
                  </w: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INPATIENTS:</w:t>
                  </w:r>
                </w:p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 xml:space="preserve">Dialysis days: </w:t>
                  </w:r>
                  <w:r w:rsidRPr="009013C9">
                    <w:rPr>
                      <w:rFonts w:ascii="Calibri" w:hAnsi="Calibri" w:cs="Arial"/>
                    </w:rPr>
                    <w:t xml:space="preserve"> Take a level pre-dialysis.  Dose if level is </w:t>
                  </w:r>
                  <w:r w:rsidRPr="009013C9">
                    <w:rPr>
                      <w:rFonts w:ascii="Calibri" w:hAnsi="Calibri" w:cs="Arial"/>
                      <w:b/>
                    </w:rPr>
                    <w:t>&lt;3mg/L.</w:t>
                  </w:r>
                </w:p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 xml:space="preserve">Non-dialysis days: </w:t>
                  </w:r>
                  <w:r w:rsidRPr="009013C9">
                    <w:rPr>
                      <w:rFonts w:ascii="Calibri" w:hAnsi="Calibri" w:cs="Arial"/>
                    </w:rPr>
                    <w:t xml:space="preserve">Please take a level before the expected dosing time.  Dose to be administered if level is </w:t>
                  </w:r>
                  <w:r w:rsidRPr="009013C9">
                    <w:rPr>
                      <w:rFonts w:ascii="Calibri" w:hAnsi="Calibri" w:cs="Arial"/>
                      <w:b/>
                    </w:rPr>
                    <w:t>&lt;2mg/L.</w:t>
                  </w: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  <w:b/>
                    </w:rPr>
                  </w:pPr>
                </w:p>
                <w:p w:rsidR="002B626E" w:rsidRPr="009013C9" w:rsidRDefault="002B626E" w:rsidP="00100DBC">
                  <w:pPr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OUTPATIENTS:</w:t>
                  </w:r>
                </w:p>
                <w:p w:rsidR="002B626E" w:rsidRPr="009013C9" w:rsidRDefault="002B626E" w:rsidP="002B626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alibri" w:hAnsi="Calibri" w:cs="Arial"/>
                    </w:rPr>
                  </w:pPr>
                  <w:r w:rsidRPr="009013C9">
                    <w:rPr>
                      <w:rFonts w:ascii="Calibri" w:hAnsi="Calibri" w:cs="Arial"/>
                    </w:rPr>
                    <w:t xml:space="preserve">Take a level pre-dialysis.  Dose if level is </w:t>
                  </w:r>
                  <w:r w:rsidRPr="009013C9">
                    <w:rPr>
                      <w:rFonts w:ascii="Calibri" w:hAnsi="Calibri" w:cs="Arial"/>
                      <w:b/>
                    </w:rPr>
                    <w:t>&lt;3mg/L.</w:t>
                  </w:r>
                  <w:r w:rsidRPr="009013C9">
                    <w:rPr>
                      <w:rFonts w:ascii="Calibri" w:hAnsi="Calibri" w:cs="Arial"/>
                    </w:rPr>
                    <w:t xml:space="preserve"> </w:t>
                  </w:r>
                </w:p>
              </w:tc>
            </w:tr>
            <w:tr w:rsidR="002B626E" w:rsidRPr="009013C9" w:rsidTr="00100DBC">
              <w:tc>
                <w:tcPr>
                  <w:tcW w:w="1980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jc w:val="center"/>
                    <w:rPr>
                      <w:rFonts w:ascii="Calibri" w:hAnsi="Calibri" w:cs="Arial"/>
                      <w:b/>
                    </w:rPr>
                  </w:pPr>
                  <w:r w:rsidRPr="009013C9">
                    <w:rPr>
                      <w:rFonts w:ascii="Calibri" w:hAnsi="Calibri" w:cs="Arial"/>
                      <w:b/>
                    </w:rPr>
                    <w:t>Additional information</w:t>
                  </w:r>
                </w:p>
              </w:tc>
              <w:tc>
                <w:tcPr>
                  <w:tcW w:w="8085" w:type="dxa"/>
                  <w:tcMar>
                    <w:top w:w="85" w:type="dxa"/>
                    <w:bottom w:w="85" w:type="dxa"/>
                  </w:tcMar>
                </w:tcPr>
                <w:p w:rsidR="002B626E" w:rsidRPr="009013C9" w:rsidRDefault="002B626E" w:rsidP="00100DBC">
                  <w:pPr>
                    <w:rPr>
                      <w:rFonts w:ascii="Calibri" w:hAnsi="Calibri" w:cs="Arial"/>
                    </w:rPr>
                  </w:pPr>
                  <w:proofErr w:type="spellStart"/>
                  <w:r w:rsidRPr="009013C9">
                    <w:rPr>
                      <w:rFonts w:ascii="Calibri" w:hAnsi="Calibri" w:cs="Arial"/>
                    </w:rPr>
                    <w:t>Gentamicin</w:t>
                  </w:r>
                  <w:proofErr w:type="spellEnd"/>
                  <w:r w:rsidRPr="009013C9">
                    <w:rPr>
                      <w:rFonts w:ascii="Calibri" w:hAnsi="Calibri" w:cs="Arial"/>
                    </w:rPr>
                    <w:t xml:space="preserve"> is removed via </w:t>
                  </w:r>
                  <w:proofErr w:type="spellStart"/>
                  <w:r w:rsidRPr="009013C9">
                    <w:rPr>
                      <w:rFonts w:ascii="Calibri" w:hAnsi="Calibri" w:cs="Arial"/>
                    </w:rPr>
                    <w:t>haemodiafiltration</w:t>
                  </w:r>
                  <w:proofErr w:type="spellEnd"/>
                  <w:r w:rsidRPr="009013C9">
                    <w:rPr>
                      <w:rFonts w:ascii="Calibri" w:hAnsi="Calibri" w:cs="Arial"/>
                    </w:rPr>
                    <w:t xml:space="preserve"> </w:t>
                  </w:r>
                  <w:r w:rsidRPr="009013C9">
                    <w:rPr>
                      <w:rFonts w:ascii="Calibri" w:hAnsi="Calibri" w:cs="Arial"/>
                      <w:u w:val="single"/>
                    </w:rPr>
                    <w:t>and</w:t>
                  </w:r>
                  <w:r w:rsidRPr="009013C9">
                    <w:rPr>
                      <w:rFonts w:ascii="Calibri" w:hAnsi="Calibri" w:cs="Arial"/>
                    </w:rPr>
                    <w:t xml:space="preserve"> haemodialysis. Therefore, the dose must be given at the end of a dialysis session.</w:t>
                  </w:r>
                </w:p>
              </w:tc>
            </w:tr>
          </w:tbl>
          <w:p w:rsidR="002B626E" w:rsidRPr="00B60CF9" w:rsidRDefault="002B626E" w:rsidP="00100DBC">
            <w:pPr>
              <w:rPr>
                <w:rFonts w:ascii="Calibri" w:hAnsi="Calibri" w:cs="Arial"/>
                <w:b/>
                <w:sz w:val="14"/>
                <w:szCs w:val="32"/>
              </w:rPr>
            </w:pPr>
            <w:r w:rsidRPr="00B60CF9">
              <w:rPr>
                <w:rFonts w:ascii="Calibri" w:hAnsi="Calibri" w:cs="Arial"/>
                <w:b/>
                <w:sz w:val="14"/>
                <w:szCs w:val="32"/>
              </w:rPr>
              <w:t xml:space="preserve"> </w:t>
            </w:r>
          </w:p>
          <w:p w:rsidR="004108AB" w:rsidRPr="00CB38B1" w:rsidRDefault="002B626E" w:rsidP="004108AB">
            <w:pPr>
              <w:ind w:left="284"/>
              <w:rPr>
                <w:rFonts w:ascii="Calibri" w:hAnsi="Calibri" w:cs="Arial"/>
                <w:b/>
                <w:sz w:val="36"/>
                <w:szCs w:val="32"/>
              </w:rPr>
            </w:pPr>
            <w:proofErr w:type="spellStart"/>
            <w:r w:rsidRPr="00B60CF9">
              <w:rPr>
                <w:rFonts w:ascii="Calibri" w:hAnsi="Calibri" w:cs="Arial"/>
                <w:b/>
                <w:sz w:val="36"/>
                <w:szCs w:val="32"/>
              </w:rPr>
              <w:t>Gentamicin</w:t>
            </w:r>
            <w:proofErr w:type="spellEnd"/>
            <w:r w:rsidRPr="00B60CF9">
              <w:rPr>
                <w:rFonts w:ascii="Calibri" w:hAnsi="Calibri" w:cs="Arial"/>
                <w:b/>
                <w:sz w:val="36"/>
                <w:szCs w:val="32"/>
              </w:rPr>
              <w:t xml:space="preserve"> </w:t>
            </w:r>
            <w:r w:rsidR="004108AB">
              <w:rPr>
                <w:rFonts w:ascii="Calibri" w:hAnsi="Calibri" w:cs="Arial"/>
                <w:b/>
                <w:sz w:val="36"/>
                <w:szCs w:val="32"/>
              </w:rPr>
              <w:t>For Patients Who Receive</w:t>
            </w:r>
            <w:r w:rsidR="004108AB" w:rsidRPr="00CB38B1">
              <w:rPr>
                <w:rFonts w:ascii="Calibri" w:hAnsi="Calibri" w:cs="Arial"/>
                <w:b/>
                <w:sz w:val="36"/>
                <w:szCs w:val="32"/>
              </w:rPr>
              <w:t xml:space="preserve"> Haemodialysis</w:t>
            </w:r>
          </w:p>
          <w:p w:rsidR="002B626E" w:rsidRPr="00B60CF9" w:rsidRDefault="002B626E" w:rsidP="00100DBC">
            <w:pPr>
              <w:rPr>
                <w:rFonts w:ascii="Calibri" w:hAnsi="Calibri" w:cs="Arial"/>
                <w:b/>
                <w:sz w:val="16"/>
                <w:szCs w:val="32"/>
              </w:rPr>
            </w:pPr>
          </w:p>
        </w:tc>
        <w:tc>
          <w:tcPr>
            <w:tcW w:w="236" w:type="dxa"/>
          </w:tcPr>
          <w:p w:rsidR="002B626E" w:rsidRDefault="002B626E" w:rsidP="00100DBC"/>
        </w:tc>
      </w:tr>
    </w:tbl>
    <w:p w:rsidR="005F044B" w:rsidRPr="0035107A" w:rsidRDefault="005F044B">
      <w:pPr>
        <w:rPr>
          <w:rFonts w:ascii="Calibri" w:hAnsi="Calibri" w:cs="Arial"/>
          <w:sz w:val="28"/>
          <w:szCs w:val="28"/>
        </w:rPr>
      </w:pPr>
    </w:p>
    <w:sectPr w:rsidR="005F044B" w:rsidRPr="0035107A" w:rsidSect="00F27F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F0" w:rsidRDefault="00FB22F0">
      <w:r>
        <w:separator/>
      </w:r>
    </w:p>
  </w:endnote>
  <w:endnote w:type="continuationSeparator" w:id="0">
    <w:p w:rsidR="00FB22F0" w:rsidRDefault="00FB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 xml:space="preserve">Written by: </w:t>
    </w:r>
    <w:r w:rsidR="00260F17">
      <w:rPr>
        <w:rFonts w:ascii="Calibri" w:hAnsi="Calibri"/>
        <w:i/>
        <w:sz w:val="20"/>
        <w:szCs w:val="20"/>
      </w:rPr>
      <w:t>Anna Kolb, Ashley Simpson, Wendy Metcalfe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Reviewed by:</w:t>
    </w:r>
    <w:r>
      <w:rPr>
        <w:rFonts w:ascii="Calibri" w:hAnsi="Calibri"/>
        <w:i/>
        <w:sz w:val="20"/>
        <w:szCs w:val="20"/>
      </w:rPr>
      <w:t xml:space="preserve"> </w:t>
    </w:r>
    <w:r w:rsidR="00260F17">
      <w:rPr>
        <w:rFonts w:ascii="Calibri" w:hAnsi="Calibri"/>
        <w:i/>
        <w:sz w:val="20"/>
        <w:szCs w:val="20"/>
      </w:rPr>
      <w:t>Maggie Davidson</w:t>
    </w:r>
    <w:r>
      <w:rPr>
        <w:rFonts w:ascii="Calibri" w:hAnsi="Calibri"/>
        <w:i/>
        <w:sz w:val="20"/>
        <w:szCs w:val="20"/>
      </w:rPr>
      <w:t>, Renal Pharmacist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 w:rsidRPr="00186DAC">
      <w:rPr>
        <w:rFonts w:ascii="Calibri" w:hAnsi="Calibri"/>
        <w:b/>
        <w:i/>
        <w:sz w:val="20"/>
        <w:szCs w:val="20"/>
      </w:rPr>
      <w:t>Date written:</w:t>
    </w:r>
    <w:r>
      <w:rPr>
        <w:rFonts w:ascii="Calibri" w:hAnsi="Calibri"/>
        <w:i/>
        <w:sz w:val="20"/>
        <w:szCs w:val="20"/>
      </w:rPr>
      <w:t xml:space="preserve"> </w:t>
    </w:r>
    <w:r w:rsidR="00260F17">
      <w:rPr>
        <w:rFonts w:ascii="Calibri" w:hAnsi="Calibri"/>
        <w:i/>
        <w:sz w:val="20"/>
        <w:szCs w:val="20"/>
      </w:rPr>
      <w:t>Sep</w:t>
    </w:r>
    <w:r>
      <w:rPr>
        <w:rFonts w:ascii="Calibri" w:hAnsi="Calibri"/>
        <w:i/>
        <w:sz w:val="20"/>
        <w:szCs w:val="20"/>
      </w:rPr>
      <w:t xml:space="preserve"> 2022</w:t>
    </w:r>
  </w:p>
  <w:p w:rsidR="003141D2" w:rsidRDefault="003141D2" w:rsidP="003141D2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b/>
        <w:i/>
        <w:sz w:val="20"/>
        <w:szCs w:val="20"/>
      </w:rPr>
      <w:t>Next Review Due</w:t>
    </w:r>
    <w:r w:rsidRPr="00186DAC">
      <w:rPr>
        <w:rFonts w:ascii="Calibri" w:hAnsi="Calibri"/>
        <w:b/>
        <w:i/>
        <w:sz w:val="20"/>
        <w:szCs w:val="20"/>
      </w:rPr>
      <w:t>:</w:t>
    </w:r>
    <w:r>
      <w:rPr>
        <w:rFonts w:ascii="Calibri" w:hAnsi="Calibri"/>
        <w:i/>
        <w:sz w:val="20"/>
        <w:szCs w:val="20"/>
      </w:rPr>
      <w:t xml:space="preserve"> </w:t>
    </w:r>
    <w:r w:rsidR="00260F17">
      <w:rPr>
        <w:rFonts w:ascii="Calibri" w:hAnsi="Calibri"/>
        <w:i/>
        <w:sz w:val="20"/>
        <w:szCs w:val="20"/>
      </w:rPr>
      <w:t>Sep</w:t>
    </w:r>
    <w:r>
      <w:rPr>
        <w:rFonts w:ascii="Calibri" w:hAnsi="Calibri"/>
        <w:i/>
        <w:sz w:val="20"/>
        <w:szCs w:val="20"/>
      </w:rPr>
      <w:t xml:space="preserve"> 2025</w:t>
    </w: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16"/>
        <w:szCs w:val="20"/>
      </w:rPr>
    </w:pPr>
  </w:p>
  <w:p w:rsidR="003141D2" w:rsidRPr="003141D2" w:rsidRDefault="003141D2" w:rsidP="003141D2">
    <w:pPr>
      <w:pStyle w:val="Footer"/>
      <w:jc w:val="right"/>
      <w:rPr>
        <w:rFonts w:ascii="Calibri" w:hAnsi="Calibri"/>
        <w:i/>
        <w:sz w:val="16"/>
        <w:szCs w:val="16"/>
      </w:rPr>
    </w:pPr>
    <w:r w:rsidRPr="003141D2">
      <w:rPr>
        <w:rFonts w:ascii="Calibri" w:hAnsi="Calibri"/>
        <w:i/>
        <w:sz w:val="16"/>
        <w:szCs w:val="16"/>
      </w:rPr>
      <w:t xml:space="preserve">This document was printed on </w:t>
    </w:r>
    <w:r w:rsidR="004736CE" w:rsidRPr="003141D2">
      <w:rPr>
        <w:rFonts w:ascii="Calibri" w:hAnsi="Calibri"/>
        <w:i/>
        <w:sz w:val="16"/>
        <w:szCs w:val="16"/>
      </w:rPr>
      <w:fldChar w:fldCharType="begin"/>
    </w:r>
    <w:r w:rsidRPr="003141D2">
      <w:rPr>
        <w:rFonts w:ascii="Calibri" w:hAnsi="Calibri"/>
        <w:i/>
        <w:sz w:val="16"/>
        <w:szCs w:val="16"/>
      </w:rPr>
      <w:instrText xml:space="preserve"> TIME \@ "dd MMMM yyyy" </w:instrText>
    </w:r>
    <w:r w:rsidR="004736CE" w:rsidRPr="003141D2">
      <w:rPr>
        <w:rFonts w:ascii="Calibri" w:hAnsi="Calibri"/>
        <w:i/>
        <w:sz w:val="16"/>
        <w:szCs w:val="16"/>
      </w:rPr>
      <w:fldChar w:fldCharType="separate"/>
    </w:r>
    <w:r w:rsidR="004108AB">
      <w:rPr>
        <w:rFonts w:ascii="Calibri" w:hAnsi="Calibri"/>
        <w:i/>
        <w:noProof/>
        <w:sz w:val="16"/>
        <w:szCs w:val="16"/>
      </w:rPr>
      <w:t>10 October 2022</w:t>
    </w:r>
    <w:r w:rsidR="004736CE" w:rsidRPr="003141D2">
      <w:rPr>
        <w:rFonts w:ascii="Calibri" w:hAnsi="Calibri"/>
        <w:i/>
        <w:sz w:val="16"/>
        <w:szCs w:val="16"/>
      </w:rPr>
      <w:fldChar w:fldCharType="end"/>
    </w:r>
    <w:r w:rsidRPr="003141D2">
      <w:rPr>
        <w:rFonts w:ascii="Calibri" w:hAnsi="Calibri"/>
        <w:i/>
        <w:sz w:val="16"/>
        <w:szCs w:val="16"/>
      </w:rPr>
      <w:t xml:space="preserve">; please check </w:t>
    </w:r>
    <w:hyperlink r:id="rId1" w:history="1">
      <w:r w:rsidRPr="003141D2">
        <w:rPr>
          <w:rStyle w:val="Hyperlink"/>
          <w:rFonts w:ascii="Calibri" w:hAnsi="Calibri"/>
          <w:i/>
          <w:sz w:val="16"/>
          <w:szCs w:val="16"/>
        </w:rPr>
        <w:t>www.edren.org</w:t>
      </w:r>
    </w:hyperlink>
    <w:r w:rsidRPr="003141D2">
      <w:rPr>
        <w:rFonts w:ascii="Calibri" w:hAnsi="Calibri"/>
        <w:i/>
        <w:sz w:val="16"/>
        <w:szCs w:val="16"/>
      </w:rPr>
      <w:t xml:space="preserve"> for most up-to-date protocol.</w:t>
    </w:r>
  </w:p>
  <w:p w:rsidR="003141D2" w:rsidRDefault="003141D2" w:rsidP="006B7F38">
    <w:pPr>
      <w:pStyle w:val="Footer"/>
      <w:jc w:val="right"/>
      <w:rPr>
        <w:rFonts w:ascii="Calibri" w:hAnsi="Calibri"/>
        <w:b/>
        <w:i/>
        <w:sz w:val="20"/>
        <w:szCs w:val="20"/>
      </w:rPr>
    </w:pPr>
  </w:p>
  <w:p w:rsidR="00265B19" w:rsidRPr="00F80228" w:rsidRDefault="00265B19" w:rsidP="00F80228">
    <w:pPr>
      <w:pStyle w:val="Footer"/>
      <w:jc w:val="right"/>
      <w:rPr>
        <w:rFonts w:ascii="Calibri" w:hAnsi="Calibr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F0" w:rsidRDefault="00FB22F0">
      <w:r>
        <w:separator/>
      </w:r>
    </w:p>
  </w:footnote>
  <w:footnote w:type="continuationSeparator" w:id="0">
    <w:p w:rsidR="00FB22F0" w:rsidRDefault="00FB2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4E12"/>
    <w:multiLevelType w:val="hybridMultilevel"/>
    <w:tmpl w:val="8FB8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7A6E"/>
    <w:multiLevelType w:val="hybridMultilevel"/>
    <w:tmpl w:val="3AD6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51AA"/>
    <w:multiLevelType w:val="hybridMultilevel"/>
    <w:tmpl w:val="70108C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CC7274"/>
    <w:multiLevelType w:val="hybridMultilevel"/>
    <w:tmpl w:val="75C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316E1"/>
    <w:multiLevelType w:val="hybridMultilevel"/>
    <w:tmpl w:val="EFCAB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F6CE8"/>
    <w:multiLevelType w:val="hybridMultilevel"/>
    <w:tmpl w:val="84D8B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8A34B1"/>
    <w:multiLevelType w:val="hybridMultilevel"/>
    <w:tmpl w:val="413E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815AF"/>
    <w:multiLevelType w:val="hybridMultilevel"/>
    <w:tmpl w:val="2726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759E"/>
    <w:multiLevelType w:val="hybridMultilevel"/>
    <w:tmpl w:val="0A84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E6E3F"/>
    <w:multiLevelType w:val="hybridMultilevel"/>
    <w:tmpl w:val="5CBA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5107A"/>
    <w:rsid w:val="00082BBD"/>
    <w:rsid w:val="00091619"/>
    <w:rsid w:val="000C15F1"/>
    <w:rsid w:val="000E6548"/>
    <w:rsid w:val="000E6E80"/>
    <w:rsid w:val="00160F26"/>
    <w:rsid w:val="00162578"/>
    <w:rsid w:val="00186DAC"/>
    <w:rsid w:val="00190C0E"/>
    <w:rsid w:val="001A0FE3"/>
    <w:rsid w:val="001B6582"/>
    <w:rsid w:val="001F184C"/>
    <w:rsid w:val="00202975"/>
    <w:rsid w:val="00225B81"/>
    <w:rsid w:val="00260F17"/>
    <w:rsid w:val="00265B19"/>
    <w:rsid w:val="00286AA7"/>
    <w:rsid w:val="00293B7B"/>
    <w:rsid w:val="002A1B2B"/>
    <w:rsid w:val="002B626E"/>
    <w:rsid w:val="002D460B"/>
    <w:rsid w:val="003141D2"/>
    <w:rsid w:val="003407C5"/>
    <w:rsid w:val="00342D85"/>
    <w:rsid w:val="00350B93"/>
    <w:rsid w:val="0035107A"/>
    <w:rsid w:val="0036517C"/>
    <w:rsid w:val="003A6E9E"/>
    <w:rsid w:val="003B4A19"/>
    <w:rsid w:val="004108AB"/>
    <w:rsid w:val="00427C55"/>
    <w:rsid w:val="00435BBF"/>
    <w:rsid w:val="004427A4"/>
    <w:rsid w:val="00462756"/>
    <w:rsid w:val="004736CE"/>
    <w:rsid w:val="004E6F1D"/>
    <w:rsid w:val="005852F5"/>
    <w:rsid w:val="005B056B"/>
    <w:rsid w:val="005B6146"/>
    <w:rsid w:val="005C698A"/>
    <w:rsid w:val="005F044B"/>
    <w:rsid w:val="00615CF2"/>
    <w:rsid w:val="0062055E"/>
    <w:rsid w:val="00653258"/>
    <w:rsid w:val="00665703"/>
    <w:rsid w:val="00710221"/>
    <w:rsid w:val="00743E14"/>
    <w:rsid w:val="00753EE1"/>
    <w:rsid w:val="00757560"/>
    <w:rsid w:val="007639D7"/>
    <w:rsid w:val="007A7E70"/>
    <w:rsid w:val="007E270E"/>
    <w:rsid w:val="007F1988"/>
    <w:rsid w:val="008067C9"/>
    <w:rsid w:val="008145BE"/>
    <w:rsid w:val="00823D6C"/>
    <w:rsid w:val="00837406"/>
    <w:rsid w:val="00843EEA"/>
    <w:rsid w:val="00870C3D"/>
    <w:rsid w:val="008776DE"/>
    <w:rsid w:val="008A5BA6"/>
    <w:rsid w:val="008A6538"/>
    <w:rsid w:val="008C2429"/>
    <w:rsid w:val="008C7A93"/>
    <w:rsid w:val="008C7B2E"/>
    <w:rsid w:val="008D568E"/>
    <w:rsid w:val="008E09CB"/>
    <w:rsid w:val="008F14CE"/>
    <w:rsid w:val="008F40E0"/>
    <w:rsid w:val="009007B7"/>
    <w:rsid w:val="00941DD8"/>
    <w:rsid w:val="009463FF"/>
    <w:rsid w:val="00972E28"/>
    <w:rsid w:val="0098553F"/>
    <w:rsid w:val="009E3084"/>
    <w:rsid w:val="009E30D2"/>
    <w:rsid w:val="00A04FB3"/>
    <w:rsid w:val="00A34F56"/>
    <w:rsid w:val="00A378FB"/>
    <w:rsid w:val="00A4303E"/>
    <w:rsid w:val="00A71505"/>
    <w:rsid w:val="00A85095"/>
    <w:rsid w:val="00A8712D"/>
    <w:rsid w:val="00AE3CD2"/>
    <w:rsid w:val="00B13A0F"/>
    <w:rsid w:val="00B62256"/>
    <w:rsid w:val="00B85BAC"/>
    <w:rsid w:val="00BA2823"/>
    <w:rsid w:val="00BC42D0"/>
    <w:rsid w:val="00BF44DD"/>
    <w:rsid w:val="00BF70E6"/>
    <w:rsid w:val="00C305F6"/>
    <w:rsid w:val="00CA1BC0"/>
    <w:rsid w:val="00CB5503"/>
    <w:rsid w:val="00CE4E83"/>
    <w:rsid w:val="00D20563"/>
    <w:rsid w:val="00D61F18"/>
    <w:rsid w:val="00D7277C"/>
    <w:rsid w:val="00E12BDD"/>
    <w:rsid w:val="00E35485"/>
    <w:rsid w:val="00E5750E"/>
    <w:rsid w:val="00E6232B"/>
    <w:rsid w:val="00EA5478"/>
    <w:rsid w:val="00EB1224"/>
    <w:rsid w:val="00ED237E"/>
    <w:rsid w:val="00EE45BC"/>
    <w:rsid w:val="00F01B82"/>
    <w:rsid w:val="00F27F20"/>
    <w:rsid w:val="00F80228"/>
    <w:rsid w:val="00FA3A96"/>
    <w:rsid w:val="00FB22F0"/>
    <w:rsid w:val="00FC6D89"/>
    <w:rsid w:val="00FD3769"/>
    <w:rsid w:val="00FE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D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02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2578"/>
    <w:pPr>
      <w:ind w:left="720"/>
      <w:contextualSpacing/>
    </w:pPr>
  </w:style>
  <w:style w:type="paragraph" w:styleId="BlockText">
    <w:name w:val="Block Text"/>
    <w:basedOn w:val="Normal"/>
    <w:uiPriority w:val="99"/>
    <w:rsid w:val="00E5750E"/>
    <w:pPr>
      <w:tabs>
        <w:tab w:val="left" w:pos="1080"/>
      </w:tabs>
      <w:ind w:left="720" w:right="386"/>
      <w:jc w:val="both"/>
    </w:pPr>
  </w:style>
  <w:style w:type="paragraph" w:styleId="BalloonText">
    <w:name w:val="Balloon Text"/>
    <w:basedOn w:val="Normal"/>
    <w:link w:val="BalloonTextChar"/>
    <w:rsid w:val="00972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E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4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27C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r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Vascular Surgery guidelines</vt:lpstr>
    </vt:vector>
  </TitlesOfParts>
  <Company>LUHD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Vascular Surgery guidelines</dc:title>
  <dc:creator>jinwerne.hah</dc:creator>
  <cp:lastModifiedBy>robert.w.hunter</cp:lastModifiedBy>
  <cp:revision>9</cp:revision>
  <cp:lastPrinted>2017-05-31T17:21:00Z</cp:lastPrinted>
  <dcterms:created xsi:type="dcterms:W3CDTF">2022-09-12T12:07:00Z</dcterms:created>
  <dcterms:modified xsi:type="dcterms:W3CDTF">2022-10-10T12:29:00Z</dcterms:modified>
</cp:coreProperties>
</file>