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AD" w:rsidRPr="005F1A71" w:rsidRDefault="00CA2566">
      <w:pPr>
        <w:rPr>
          <w:rFonts w:asciiTheme="majorHAnsi" w:hAnsiTheme="majorHAnsi"/>
        </w:rPr>
      </w:pPr>
      <w:r w:rsidRPr="00CA2566">
        <w:rPr>
          <w:rFonts w:asciiTheme="majorHAnsi" w:hAnsiTheme="majorHAnsi"/>
          <w:i/>
          <w:noProof/>
          <w:sz w:val="32"/>
          <w:szCs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585pt;margin-top:9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a9swIAAL4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" filled="f" stroked="f">
            <v:path arrowok="t"/>
            <v:textbox>
              <w:txbxContent>
                <w:p w:rsidR="0076036F" w:rsidRPr="005F1A71" w:rsidRDefault="0076036F" w:rsidP="004410C1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5F1A7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3</w:t>
                  </w:r>
                  <w:r w:rsidRPr="005F1A71">
                    <w:rPr>
                      <w:rFonts w:asciiTheme="majorHAnsi" w:hAnsiTheme="majorHAnsi"/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 w:rsidRPr="005F1A7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line</w:t>
                  </w:r>
                </w:p>
              </w:txbxContent>
            </v:textbox>
            <w10:wrap type="square"/>
          </v:shape>
        </w:pict>
      </w:r>
      <w:r w:rsidR="00D56823" w:rsidRPr="005F1A71">
        <w:rPr>
          <w:rFonts w:asciiTheme="majorHAnsi" w:hAnsiTheme="majorHAns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9423400" cy="4641850"/>
            <wp:effectExtent l="19050" t="0" r="6350" b="67310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280AB3" w:rsidRPr="005F1A71">
        <w:rPr>
          <w:rFonts w:asciiTheme="majorHAnsi" w:hAnsiTheme="majorHAnsi"/>
          <w:b/>
          <w:sz w:val="32"/>
          <w:szCs w:val="32"/>
        </w:rPr>
        <w:t>PHOSPHATE BINDERS FOR PATIENTS WITH CHRONIC RENAL IMPAIRMENT</w:t>
      </w:r>
      <w:r w:rsidR="00BD2424">
        <w:rPr>
          <w:b/>
          <w:sz w:val="32"/>
          <w:szCs w:val="32"/>
        </w:rPr>
        <w:t xml:space="preserve"> </w:t>
      </w:r>
      <w:r w:rsidR="005F1A71" w:rsidRPr="005F1A71">
        <w:rPr>
          <w:rFonts w:asciiTheme="majorHAnsi" w:hAnsiTheme="majorHAnsi"/>
        </w:rPr>
        <w:t xml:space="preserve">(version </w:t>
      </w:r>
      <w:r w:rsidR="00CB313D">
        <w:rPr>
          <w:rFonts w:asciiTheme="majorHAnsi" w:hAnsiTheme="majorHAnsi"/>
        </w:rPr>
        <w:t>4</w:t>
      </w:r>
      <w:r w:rsidR="007E1F6D" w:rsidRPr="005F1A71">
        <w:rPr>
          <w:rFonts w:asciiTheme="majorHAnsi" w:hAnsiTheme="majorHAnsi"/>
        </w:rPr>
        <w:t xml:space="preserve">) </w:t>
      </w:r>
    </w:p>
    <w:p w:rsidR="00B64FD2" w:rsidRPr="005F1A71" w:rsidRDefault="00280AB3">
      <w:pPr>
        <w:rPr>
          <w:rFonts w:asciiTheme="majorHAnsi" w:hAnsiTheme="majorHAnsi"/>
          <w:i/>
        </w:rPr>
      </w:pPr>
      <w:r w:rsidRPr="005F1A71">
        <w:rPr>
          <w:rFonts w:asciiTheme="majorHAnsi" w:hAnsiTheme="majorHAnsi"/>
          <w:i/>
        </w:rPr>
        <w:t>Please consult dietician for concurrent dietary management as per NICE guidance</w:t>
      </w:r>
    </w:p>
    <w:p w:rsidR="00B64FD2" w:rsidRPr="00B64FD2" w:rsidRDefault="005F1A71" w:rsidP="00B64FD2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889000" cy="88900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B64FD2" w:rsidRPr="00B64FD2" w:rsidRDefault="00B64FD2" w:rsidP="00B64FD2"/>
    <w:p w:rsidR="00B64FD2" w:rsidRPr="00B64FD2" w:rsidRDefault="00CA2566" w:rsidP="00B64FD2">
      <w:r w:rsidRPr="00CA2566">
        <w:rPr>
          <w:i/>
          <w:noProof/>
          <w:lang w:val="en-GB" w:eastAsia="en-GB"/>
        </w:rPr>
        <w:pict>
          <v:shape id="Text Box 15" o:spid="_x0000_s1027" type="#_x0000_t202" style="position:absolute;margin-left:229pt;margin-top:6.85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" filled="f" stroked="f">
            <v:path arrowok="t"/>
            <v:textbox>
              <w:txbxContent>
                <w:p w:rsidR="0076036F" w:rsidRPr="005F1A71" w:rsidRDefault="0076036F" w:rsidP="004410C1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5F1A7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2</w:t>
                  </w:r>
                  <w:r w:rsidRPr="005F1A71">
                    <w:rPr>
                      <w:rFonts w:asciiTheme="majorHAnsi" w:hAnsiTheme="majorHAnsi"/>
                      <w:b/>
                      <w:sz w:val="28"/>
                      <w:szCs w:val="28"/>
                      <w:vertAlign w:val="superscript"/>
                    </w:rPr>
                    <w:t>nd</w:t>
                  </w:r>
                  <w:r w:rsidRPr="005F1A7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line</w:t>
                  </w:r>
                </w:p>
              </w:txbxContent>
            </v:textbox>
            <w10:wrap type="square"/>
          </v:shape>
        </w:pict>
      </w:r>
    </w:p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CA2566" w:rsidP="00B64FD2">
      <w:r w:rsidRPr="00CA2566">
        <w:rPr>
          <w:i/>
          <w:noProof/>
          <w:lang w:val="en-GB" w:eastAsia="en-GB"/>
        </w:rPr>
        <w:pict>
          <v:shape id="Text Box 14" o:spid="_x0000_s1028" type="#_x0000_t202" style="position:absolute;margin-left:45pt;margin-top:13.6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" filled="f" stroked="f">
            <v:path arrowok="t"/>
            <v:textbox>
              <w:txbxContent>
                <w:p w:rsidR="0076036F" w:rsidRPr="005F1A71" w:rsidRDefault="0076036F" w:rsidP="00280AB3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5F1A7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1</w:t>
                  </w:r>
                  <w:r w:rsidRPr="005F1A71">
                    <w:rPr>
                      <w:rFonts w:asciiTheme="majorHAnsi" w:hAnsiTheme="majorHAnsi"/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 w:rsidRPr="005F1A7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line</w:t>
                  </w:r>
                </w:p>
              </w:txbxContent>
            </v:textbox>
            <w10:wrap type="square"/>
          </v:shape>
        </w:pict>
      </w:r>
    </w:p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CA2566" w:rsidP="00B64FD2">
      <w:r w:rsidRPr="00CA2566">
        <w:rPr>
          <w:i/>
          <w:noProof/>
          <w:lang w:val="en-GB" w:eastAsia="en-GB"/>
        </w:rPr>
        <w:pict>
          <v:shape id="Text Box 18" o:spid="_x0000_s1029" type="#_x0000_t202" style="position:absolute;margin-left:358.8pt;margin-top:.75pt;width:225pt;height:13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" fillcolor="#fa7d14" stroked="f" strokeweight="2pt">
            <v:path arrowok="t"/>
            <v:textbox>
              <w:txbxContent>
                <w:p w:rsidR="0076036F" w:rsidRPr="0076036F" w:rsidRDefault="00A417DA" w:rsidP="0076036F">
                  <w:pPr>
                    <w:pStyle w:val="ListParagraph"/>
                    <w:ind w:left="0"/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  <w:t>Important points</w:t>
                  </w:r>
                  <w:r w:rsidR="0076036F" w:rsidRPr="0076036F"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76036F" w:rsidRPr="0076036F" w:rsidRDefault="0076036F" w:rsidP="0076036F">
                  <w:pPr>
                    <w:pStyle w:val="ListParagraph"/>
                    <w:numPr>
                      <w:ilvl w:val="0"/>
                      <w:numId w:val="7"/>
                    </w:numPr>
                    <w:ind w:left="426"/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</w:pPr>
                  <w:r w:rsidRPr="0076036F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All </w:t>
                  </w:r>
                  <w:proofErr w:type="spellStart"/>
                  <w:r w:rsidRPr="0076036F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Renagel</w:t>
                  </w:r>
                  <w:proofErr w:type="spellEnd"/>
                  <w:r w:rsidRPr="0076036F">
                    <w:rPr>
                      <w:rFonts w:ascii="Calibri" w:hAnsi="Calibri"/>
                      <w:color w:val="000000" w:themeColor="text1"/>
                      <w:sz w:val="24"/>
                      <w:szCs w:val="24"/>
                      <w:vertAlign w:val="superscript"/>
                    </w:rPr>
                    <w:t xml:space="preserve">® </w:t>
                  </w:r>
                  <w:r w:rsidRPr="0076036F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76036F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Renvela</w:t>
                  </w:r>
                  <w:proofErr w:type="spellEnd"/>
                  <w:r w:rsidRPr="0076036F">
                    <w:rPr>
                      <w:rFonts w:ascii="Calibri" w:hAnsi="Calibri"/>
                      <w:color w:val="000000" w:themeColor="text1"/>
                      <w:sz w:val="24"/>
                      <w:szCs w:val="24"/>
                      <w:vertAlign w:val="superscript"/>
                    </w:rPr>
                    <w:t>®</w:t>
                  </w:r>
                  <w:r w:rsidRPr="0076036F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tablet prescriptions should be switched to </w:t>
                  </w:r>
                  <w:r w:rsidRPr="0076036F"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generic</w:t>
                  </w:r>
                  <w:r w:rsidRPr="0076036F">
                    <w:rPr>
                      <w:rFonts w:ascii="Calibri" w:hAnsi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036F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sevelamer</w:t>
                  </w:r>
                  <w:proofErr w:type="spellEnd"/>
                  <w:r w:rsidRPr="0076036F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 xml:space="preserve"> carbonate. Dose is equivalent</w:t>
                  </w:r>
                </w:p>
                <w:p w:rsidR="0076036F" w:rsidRPr="0076036F" w:rsidRDefault="0076036F" w:rsidP="0076036F">
                  <w:pPr>
                    <w:pStyle w:val="ListParagraph"/>
                    <w:numPr>
                      <w:ilvl w:val="0"/>
                      <w:numId w:val="7"/>
                    </w:numPr>
                    <w:ind w:left="426"/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</w:pPr>
                  <w:r w:rsidRPr="0076036F">
                    <w:rPr>
                      <w:rFonts w:ascii="Calibri" w:hAnsi="Calibri"/>
                      <w:color w:val="000000" w:themeColor="text1"/>
                      <w:sz w:val="24"/>
                      <w:szCs w:val="24"/>
                    </w:rPr>
                    <w:t>Compliance is key to good phosphate control. Patient preference should be considered</w:t>
                  </w:r>
                </w:p>
                <w:p w:rsidR="0076036F" w:rsidRPr="00D56823" w:rsidRDefault="0076036F" w:rsidP="00F00591">
                  <w:pPr>
                    <w:pStyle w:val="ListParagraph"/>
                    <w:ind w:left="1080"/>
                    <w:jc w:val="righ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B64FD2" w:rsidRDefault="00B64FD2" w:rsidP="00B64FD2"/>
    <w:p w:rsidR="000B2216" w:rsidRPr="0076036F" w:rsidRDefault="000B2216" w:rsidP="00B64FD2">
      <w:pPr>
        <w:jc w:val="center"/>
        <w:rPr>
          <w:color w:val="000000" w:themeColor="text1"/>
        </w:rPr>
      </w:pPr>
      <w:bookmarkStart w:id="0" w:name="_GoBack"/>
      <w:bookmarkEnd w:id="0"/>
    </w:p>
    <w:sectPr w:rsidR="000B2216" w:rsidRPr="0076036F" w:rsidSect="00182B5B">
      <w:footerReference w:type="default" r:id="rId14"/>
      <w:pgSz w:w="16820" w:h="11900" w:orient="landscape"/>
      <w:pgMar w:top="709" w:right="567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6F" w:rsidRDefault="0076036F" w:rsidP="00B64FD2">
      <w:r>
        <w:separator/>
      </w:r>
    </w:p>
  </w:endnote>
  <w:endnote w:type="continuationSeparator" w:id="0">
    <w:p w:rsidR="0076036F" w:rsidRDefault="0076036F" w:rsidP="00B6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6F" w:rsidRPr="0076036F" w:rsidRDefault="0076036F" w:rsidP="00182B5B">
    <w:pPr>
      <w:pStyle w:val="Footer"/>
      <w:tabs>
        <w:tab w:val="right" w:pos="14742"/>
      </w:tabs>
      <w:ind w:right="-22"/>
      <w:rPr>
        <w:rFonts w:asciiTheme="majorHAnsi" w:hAnsiTheme="majorHAnsi"/>
        <w:i/>
        <w:sz w:val="18"/>
        <w:szCs w:val="18"/>
      </w:rPr>
    </w:pPr>
    <w:r w:rsidRPr="0076036F">
      <w:rPr>
        <w:rFonts w:asciiTheme="majorHAnsi" w:hAnsiTheme="majorHAnsi"/>
        <w:i/>
        <w:sz w:val="18"/>
        <w:szCs w:val="18"/>
      </w:rPr>
      <w:t>Written by: J</w:t>
    </w:r>
    <w:r w:rsidR="0027044C">
      <w:rPr>
        <w:rFonts w:asciiTheme="majorHAnsi" w:hAnsiTheme="majorHAnsi"/>
        <w:i/>
        <w:sz w:val="18"/>
        <w:szCs w:val="18"/>
      </w:rPr>
      <w:t>in Hah, Renal Pharmacist. Updated: Joanna Hu</w:t>
    </w:r>
    <w:r w:rsidR="00E60E0E">
      <w:rPr>
        <w:rFonts w:asciiTheme="majorHAnsi" w:hAnsiTheme="majorHAnsi"/>
        <w:i/>
        <w:sz w:val="18"/>
        <w:szCs w:val="18"/>
      </w:rPr>
      <w:t>tchison Renal pharmacist (September</w:t>
    </w:r>
    <w:r w:rsidR="0027044C">
      <w:rPr>
        <w:rFonts w:asciiTheme="majorHAnsi" w:hAnsiTheme="majorHAnsi"/>
        <w:i/>
        <w:sz w:val="18"/>
        <w:szCs w:val="18"/>
      </w:rPr>
      <w:t xml:space="preserve"> 2019)</w:t>
    </w:r>
  </w:p>
  <w:p w:rsidR="0076036F" w:rsidRPr="0076036F" w:rsidRDefault="0076036F" w:rsidP="00182B5B">
    <w:pPr>
      <w:pStyle w:val="Footer"/>
      <w:tabs>
        <w:tab w:val="right" w:pos="14742"/>
      </w:tabs>
      <w:ind w:right="-22"/>
      <w:rPr>
        <w:i/>
        <w:sz w:val="18"/>
        <w:szCs w:val="18"/>
      </w:rPr>
    </w:pPr>
    <w:r w:rsidRPr="0076036F">
      <w:rPr>
        <w:rFonts w:asciiTheme="majorHAnsi" w:hAnsiTheme="majorHAnsi"/>
        <w:i/>
        <w:sz w:val="18"/>
        <w:szCs w:val="18"/>
      </w:rPr>
      <w:t>Reviewed by:</w:t>
    </w:r>
    <w:r w:rsidR="00E60E0E">
      <w:rPr>
        <w:rFonts w:asciiTheme="majorHAnsi" w:hAnsiTheme="majorHAnsi"/>
        <w:i/>
        <w:sz w:val="18"/>
        <w:szCs w:val="18"/>
      </w:rPr>
      <w:t xml:space="preserve"> Maggie Davidson (Renal Pharmacist)</w:t>
    </w:r>
    <w:r w:rsidR="00CB313D">
      <w:rPr>
        <w:rFonts w:asciiTheme="majorHAnsi" w:hAnsiTheme="majorHAnsi"/>
        <w:i/>
        <w:sz w:val="18"/>
        <w:szCs w:val="18"/>
      </w:rPr>
      <w:t xml:space="preserve"> Oct 2022</w:t>
    </w:r>
  </w:p>
  <w:p w:rsidR="0076036F" w:rsidRPr="0076036F" w:rsidRDefault="00A417DA" w:rsidP="00182B5B">
    <w:pPr>
      <w:pStyle w:val="Footer"/>
      <w:tabs>
        <w:tab w:val="right" w:pos="14742"/>
      </w:tabs>
      <w:ind w:right="-22"/>
      <w:rPr>
        <w:i/>
      </w:rPr>
    </w:pPr>
    <w:r>
      <w:rPr>
        <w:i/>
        <w:sz w:val="18"/>
        <w:szCs w:val="18"/>
      </w:rPr>
      <w:t>Review date</w:t>
    </w:r>
    <w:r w:rsidR="0027044C">
      <w:rPr>
        <w:i/>
        <w:sz w:val="18"/>
        <w:szCs w:val="18"/>
      </w:rPr>
      <w:t xml:space="preserve">: </w:t>
    </w:r>
    <w:r w:rsidR="00CB313D">
      <w:rPr>
        <w:i/>
        <w:sz w:val="18"/>
        <w:szCs w:val="18"/>
      </w:rPr>
      <w:t>Oct</w:t>
    </w:r>
    <w:r w:rsidR="00E60E0E">
      <w:rPr>
        <w:i/>
        <w:sz w:val="18"/>
        <w:szCs w:val="18"/>
      </w:rPr>
      <w:t xml:space="preserve"> </w:t>
    </w:r>
    <w:r w:rsidR="00CB313D">
      <w:rPr>
        <w:i/>
        <w:sz w:val="18"/>
        <w:szCs w:val="18"/>
      </w:rPr>
      <w:t>2025</w:t>
    </w:r>
  </w:p>
  <w:p w:rsidR="0076036F" w:rsidRDefault="0076036F" w:rsidP="00182B5B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6F" w:rsidRDefault="0076036F" w:rsidP="00B64FD2">
      <w:r>
        <w:separator/>
      </w:r>
    </w:p>
  </w:footnote>
  <w:footnote w:type="continuationSeparator" w:id="0">
    <w:p w:rsidR="0076036F" w:rsidRDefault="0076036F" w:rsidP="00B64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ABE"/>
    <w:multiLevelType w:val="hybridMultilevel"/>
    <w:tmpl w:val="D48A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3E1059"/>
    <w:multiLevelType w:val="hybridMultilevel"/>
    <w:tmpl w:val="D3341A88"/>
    <w:lvl w:ilvl="0" w:tplc="218EA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6A0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A488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CFEA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D4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DDE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8A7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B8F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5C7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EDA5161"/>
    <w:multiLevelType w:val="hybridMultilevel"/>
    <w:tmpl w:val="9CD883A0"/>
    <w:lvl w:ilvl="0" w:tplc="0C7A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60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4A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1EE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7483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B5AC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0EF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32B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FA9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0330130"/>
    <w:multiLevelType w:val="hybridMultilevel"/>
    <w:tmpl w:val="868E99EC"/>
    <w:lvl w:ilvl="0" w:tplc="9150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A6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94C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F88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7C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3DA7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C8F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F24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928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4075A6D"/>
    <w:multiLevelType w:val="hybridMultilevel"/>
    <w:tmpl w:val="D81EB5F0"/>
    <w:lvl w:ilvl="0" w:tplc="F54874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174AB"/>
    <w:multiLevelType w:val="hybridMultilevel"/>
    <w:tmpl w:val="FA58A920"/>
    <w:lvl w:ilvl="0" w:tplc="E912F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057567"/>
    <w:multiLevelType w:val="hybridMultilevel"/>
    <w:tmpl w:val="7AF0CAC4"/>
    <w:lvl w:ilvl="0" w:tplc="34B6A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482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35E3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D67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ECA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174E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550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D52B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987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2216"/>
    <w:rsid w:val="0007187E"/>
    <w:rsid w:val="00071B80"/>
    <w:rsid w:val="000B2216"/>
    <w:rsid w:val="000B7C10"/>
    <w:rsid w:val="00182B5B"/>
    <w:rsid w:val="00195080"/>
    <w:rsid w:val="00201A04"/>
    <w:rsid w:val="0027044C"/>
    <w:rsid w:val="00280AB3"/>
    <w:rsid w:val="00295FB9"/>
    <w:rsid w:val="002A4934"/>
    <w:rsid w:val="00343018"/>
    <w:rsid w:val="00357DC9"/>
    <w:rsid w:val="00390563"/>
    <w:rsid w:val="003C4A7A"/>
    <w:rsid w:val="00436F48"/>
    <w:rsid w:val="004410C1"/>
    <w:rsid w:val="004D0214"/>
    <w:rsid w:val="004D2DB0"/>
    <w:rsid w:val="00522072"/>
    <w:rsid w:val="005A7A9E"/>
    <w:rsid w:val="005C2AD2"/>
    <w:rsid w:val="005E0C7E"/>
    <w:rsid w:val="005F1A71"/>
    <w:rsid w:val="005F4F51"/>
    <w:rsid w:val="00610905"/>
    <w:rsid w:val="00626C52"/>
    <w:rsid w:val="006C5AAD"/>
    <w:rsid w:val="0076036F"/>
    <w:rsid w:val="007E1F6D"/>
    <w:rsid w:val="00910049"/>
    <w:rsid w:val="009A24E6"/>
    <w:rsid w:val="009A73D2"/>
    <w:rsid w:val="00A07AE6"/>
    <w:rsid w:val="00A417DA"/>
    <w:rsid w:val="00A53A56"/>
    <w:rsid w:val="00A84142"/>
    <w:rsid w:val="00B64FD2"/>
    <w:rsid w:val="00BD2424"/>
    <w:rsid w:val="00C4246E"/>
    <w:rsid w:val="00CA2566"/>
    <w:rsid w:val="00CB313D"/>
    <w:rsid w:val="00D05304"/>
    <w:rsid w:val="00D276A1"/>
    <w:rsid w:val="00D40AB7"/>
    <w:rsid w:val="00D56823"/>
    <w:rsid w:val="00DE0EFD"/>
    <w:rsid w:val="00E4482F"/>
    <w:rsid w:val="00E60E0E"/>
    <w:rsid w:val="00ED2B6B"/>
    <w:rsid w:val="00F00591"/>
    <w:rsid w:val="00F630CB"/>
    <w:rsid w:val="00FC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AB3"/>
    <w:pPr>
      <w:ind w:left="720"/>
      <w:contextualSpacing/>
    </w:pPr>
    <w:rPr>
      <w:rFonts w:ascii="Times" w:hAnsi="Times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64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D2"/>
  </w:style>
  <w:style w:type="paragraph" w:styleId="Footer">
    <w:name w:val="footer"/>
    <w:basedOn w:val="Normal"/>
    <w:link w:val="FooterChar"/>
    <w:uiPriority w:val="99"/>
    <w:unhideWhenUsed/>
    <w:rsid w:val="00B64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E4B677-03ED-734E-873A-6685E09A831B}" type="doc">
      <dgm:prSet loTypeId="urn:microsoft.com/office/officeart/2009/3/layout/StepUpProcess" loCatId="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D93D7D60-67AA-B742-B051-921C89796025}">
      <dgm:prSet phldrT="[Text]" custT="1"/>
      <dgm:spPr/>
      <dgm:t>
        <a:bodyPr/>
        <a:lstStyle/>
        <a:p>
          <a:r>
            <a:rPr lang="en-GB" sz="1200">
              <a:latin typeface="+mj-lt"/>
            </a:rPr>
            <a:t>Calcium Acetate 1g tablets (equivalent to 250mg calcium)</a:t>
          </a:r>
        </a:p>
        <a:p>
          <a:r>
            <a:rPr lang="en-GB" sz="1300" b="1">
              <a:latin typeface="+mj-lt"/>
            </a:rPr>
            <a:t>Phosex</a:t>
          </a:r>
          <a:r>
            <a:rPr lang="en-GB" sz="1300" b="1" baseline="30000">
              <a:latin typeface="+mj-lt"/>
            </a:rPr>
            <a:t>®  </a:t>
          </a:r>
          <a:endParaRPr lang="en-GB" sz="900" b="1" baseline="30000">
            <a:latin typeface="+mj-lt"/>
          </a:endParaRPr>
        </a:p>
        <a:p>
          <a:r>
            <a:rPr lang="en-US" sz="1200">
              <a:latin typeface="+mj-lt"/>
            </a:rPr>
            <a:t>OR</a:t>
          </a:r>
        </a:p>
        <a:p>
          <a:r>
            <a:rPr lang="en-GB" sz="1000" b="0" i="1">
              <a:solidFill>
                <a:srgbClr val="FF0000"/>
              </a:solidFill>
              <a:latin typeface="+mj-lt"/>
            </a:rPr>
            <a:t>if Phosex</a:t>
          </a:r>
          <a:r>
            <a:rPr lang="en-GB" sz="1000" b="0" i="1" baseline="30000">
              <a:solidFill>
                <a:srgbClr val="FF0000"/>
              </a:solidFill>
              <a:latin typeface="+mj-lt"/>
            </a:rPr>
            <a:t>®</a:t>
          </a:r>
          <a:r>
            <a:rPr lang="en-GB" sz="1000" b="0" i="1">
              <a:solidFill>
                <a:srgbClr val="FF0000"/>
              </a:solidFill>
              <a:latin typeface="+mj-lt"/>
            </a:rPr>
            <a:t> not tolerated</a:t>
          </a:r>
          <a:endParaRPr lang="en-US" sz="1200">
            <a:latin typeface="+mj-lt"/>
          </a:endParaRPr>
        </a:p>
        <a:p>
          <a:r>
            <a:rPr lang="en-US" sz="1200">
              <a:latin typeface="+mj-lt"/>
            </a:rPr>
            <a:t>Calcium Carbonate 1500mg chewable tablets (equivalent to 600mg calcium)</a:t>
          </a:r>
        </a:p>
        <a:p>
          <a:r>
            <a:rPr lang="en-US" sz="1300" b="1">
              <a:latin typeface="+mj-lt"/>
            </a:rPr>
            <a:t>Adcal</a:t>
          </a:r>
          <a:r>
            <a:rPr lang="en-GB" sz="1300" b="1" baseline="30000">
              <a:latin typeface="+mj-lt"/>
            </a:rPr>
            <a:t>®</a:t>
          </a:r>
          <a:endParaRPr lang="en-GB" sz="900" b="1" baseline="30000">
            <a:latin typeface="+mj-lt"/>
          </a:endParaRPr>
        </a:p>
        <a:p>
          <a:r>
            <a:rPr lang="en-US" sz="1200">
              <a:latin typeface="+mj-lt"/>
            </a:rPr>
            <a:t>ONE tablet to be taken with each meal. If exceeding 3 tablets a day, consider non-calcium based binder.</a:t>
          </a:r>
        </a:p>
      </dgm:t>
    </dgm:pt>
    <dgm:pt modelId="{E7D2243B-8456-2E45-A5FF-FCFBDF3DEDA7}" type="parTrans" cxnId="{BF8874E1-43BE-7F48-82D7-EA1430A8AD72}">
      <dgm:prSet/>
      <dgm:spPr/>
      <dgm:t>
        <a:bodyPr/>
        <a:lstStyle/>
        <a:p>
          <a:endParaRPr lang="en-US"/>
        </a:p>
      </dgm:t>
    </dgm:pt>
    <dgm:pt modelId="{DE7F3FC1-8E81-F34E-B7FF-A903C7F548BA}" type="sibTrans" cxnId="{BF8874E1-43BE-7F48-82D7-EA1430A8AD72}">
      <dgm:prSet/>
      <dgm:spPr/>
      <dgm:t>
        <a:bodyPr/>
        <a:lstStyle/>
        <a:p>
          <a:endParaRPr lang="en-US"/>
        </a:p>
      </dgm:t>
    </dgm:pt>
    <dgm:pt modelId="{588227F3-CC39-DA42-8D68-7FFAD038805A}">
      <dgm:prSet phldrT="[Text]" custT="1"/>
      <dgm:spPr/>
      <dgm:t>
        <a:bodyPr/>
        <a:lstStyle/>
        <a:p>
          <a:r>
            <a:rPr lang="en-US" sz="1200">
              <a:latin typeface="+mj-lt"/>
            </a:rPr>
            <a:t>Lanthanum Carbonate</a:t>
          </a:r>
        </a:p>
        <a:p>
          <a:r>
            <a:rPr lang="en-US" sz="1200">
              <a:latin typeface="+mj-lt"/>
            </a:rPr>
            <a:t>750mg/1000mg chewable tablets </a:t>
          </a:r>
        </a:p>
        <a:p>
          <a:r>
            <a:rPr lang="en-US" sz="1300" b="1">
              <a:latin typeface="+mj-lt"/>
            </a:rPr>
            <a:t>Fosrenol</a:t>
          </a:r>
          <a:r>
            <a:rPr lang="en-GB" sz="1300" b="1" baseline="30000">
              <a:latin typeface="+mj-lt"/>
            </a:rPr>
            <a:t>®</a:t>
          </a:r>
          <a:endParaRPr lang="en-GB" sz="900" b="1">
            <a:latin typeface="+mj-lt"/>
          </a:endParaRPr>
        </a:p>
        <a:p>
          <a:r>
            <a:rPr lang="en-GB" sz="1200">
              <a:latin typeface="+mj-lt"/>
            </a:rPr>
            <a:t>Consider 750mg-1000mg with each meal. Titrate to response. Maximum 3000mg a day.</a:t>
          </a:r>
        </a:p>
        <a:p>
          <a:r>
            <a:rPr lang="en-GB" sz="1200">
              <a:latin typeface="+mj-lt"/>
            </a:rPr>
            <a:t>OR</a:t>
          </a:r>
        </a:p>
        <a:p>
          <a:r>
            <a:rPr lang="en-US" sz="1000" i="1">
              <a:solidFill>
                <a:srgbClr val="FF0000"/>
              </a:solidFill>
              <a:latin typeface="+mj-lt"/>
            </a:rPr>
            <a:t>if Fosrenol</a:t>
          </a:r>
          <a:r>
            <a:rPr lang="en-GB" sz="1000" b="1" baseline="30000">
              <a:solidFill>
                <a:srgbClr val="FF0000"/>
              </a:solidFill>
              <a:latin typeface="+mj-lt"/>
            </a:rPr>
            <a:t>®</a:t>
          </a:r>
          <a:r>
            <a:rPr lang="en-US" sz="1000" i="1" baseline="30000">
              <a:solidFill>
                <a:srgbClr val="FF0000"/>
              </a:solidFill>
              <a:latin typeface="+mj-lt"/>
            </a:rPr>
            <a:t> </a:t>
          </a:r>
          <a:r>
            <a:rPr lang="en-US" sz="1000" i="1">
              <a:solidFill>
                <a:srgbClr val="FF0000"/>
              </a:solidFill>
              <a:latin typeface="+mj-lt"/>
            </a:rPr>
            <a:t>tablets not tolerated</a:t>
          </a:r>
          <a:endParaRPr lang="en-GB" sz="1000">
            <a:solidFill>
              <a:srgbClr val="FF0000"/>
            </a:solidFill>
            <a:latin typeface="+mj-lt"/>
          </a:endParaRPr>
        </a:p>
        <a:p>
          <a:r>
            <a:rPr lang="en-US" sz="1200">
              <a:latin typeface="+mj-lt"/>
            </a:rPr>
            <a:t>Lanthanum Carbonate</a:t>
          </a:r>
        </a:p>
        <a:p>
          <a:r>
            <a:rPr lang="en-US" sz="1200">
              <a:latin typeface="+mj-lt"/>
            </a:rPr>
            <a:t>750mg/1000mg oral powder </a:t>
          </a:r>
        </a:p>
        <a:p>
          <a:r>
            <a:rPr lang="en-US" sz="1300" b="1">
              <a:latin typeface="+mj-lt"/>
            </a:rPr>
            <a:t>Fosrenol</a:t>
          </a:r>
          <a:r>
            <a:rPr lang="en-GB" sz="1300" b="1" baseline="30000">
              <a:latin typeface="+mj-lt"/>
            </a:rPr>
            <a:t>®</a:t>
          </a:r>
        </a:p>
        <a:p>
          <a:r>
            <a:rPr lang="en-GB" sz="1200">
              <a:latin typeface="+mj-lt"/>
            </a:rPr>
            <a:t>Consider 750mg-1000mg with each meal. Titrate to response. Maximum 3000mg a day.</a:t>
          </a:r>
          <a:endParaRPr lang="en-GB" sz="1200" b="1">
            <a:latin typeface="+mj-lt"/>
          </a:endParaRPr>
        </a:p>
        <a:p>
          <a:endParaRPr lang="en-GB" sz="1200" i="1">
            <a:latin typeface="+mj-lt"/>
          </a:endParaRPr>
        </a:p>
        <a:p>
          <a:r>
            <a:rPr lang="en-GB" sz="1200" i="1">
              <a:latin typeface="+mj-lt"/>
            </a:rPr>
            <a:t>Consider Sevelamer Carbonate tablets with snacks if required</a:t>
          </a:r>
          <a:endParaRPr lang="en-GB" sz="1200">
            <a:latin typeface="+mj-lt"/>
          </a:endParaRPr>
        </a:p>
      </dgm:t>
    </dgm:pt>
    <dgm:pt modelId="{462C3035-F5AB-B448-843F-B4B3F506E438}" type="parTrans" cxnId="{DEBDDAC0-FEC9-9B45-9AA2-E53A7D30DC2F}">
      <dgm:prSet/>
      <dgm:spPr/>
      <dgm:t>
        <a:bodyPr/>
        <a:lstStyle/>
        <a:p>
          <a:endParaRPr lang="en-US"/>
        </a:p>
      </dgm:t>
    </dgm:pt>
    <dgm:pt modelId="{662258C7-C893-1E43-97B6-5906551CA4C1}" type="sibTrans" cxnId="{DEBDDAC0-FEC9-9B45-9AA2-E53A7D30DC2F}">
      <dgm:prSet/>
      <dgm:spPr/>
      <dgm:t>
        <a:bodyPr/>
        <a:lstStyle/>
        <a:p>
          <a:endParaRPr lang="en-US"/>
        </a:p>
      </dgm:t>
    </dgm:pt>
    <dgm:pt modelId="{984AC5DA-B97B-0149-9BCB-99F6B531DD9D}">
      <dgm:prSet custT="1"/>
      <dgm:spPr/>
      <dgm:t>
        <a:bodyPr/>
        <a:lstStyle/>
        <a:p>
          <a:r>
            <a:rPr lang="en-US" sz="1200">
              <a:latin typeface="+mj-lt"/>
            </a:rPr>
            <a:t>Sevelamer Carbonate 800mg tablets </a:t>
          </a:r>
          <a:r>
            <a:rPr lang="en-US" sz="1300" b="1">
              <a:latin typeface="+mj-lt"/>
            </a:rPr>
            <a:t>Generic</a:t>
          </a:r>
          <a:endParaRPr lang="en-US" sz="900" b="1" i="1">
            <a:latin typeface="+mj-lt"/>
          </a:endParaRPr>
        </a:p>
        <a:p>
          <a:r>
            <a:rPr lang="en-GB" sz="1200">
              <a:latin typeface="+mj-lt"/>
            </a:rPr>
            <a:t>ONE tablet to be taken with each meal. Titrate to response. If exceeding 8 tablets a day, consider Fosrenol</a:t>
          </a:r>
          <a:r>
            <a:rPr lang="en-GB" sz="1200" baseline="30000">
              <a:latin typeface="+mj-lt"/>
            </a:rPr>
            <a:t>®</a:t>
          </a:r>
          <a:r>
            <a:rPr lang="en-GB" sz="1200">
              <a:latin typeface="+mj-lt"/>
            </a:rPr>
            <a:t>. </a:t>
          </a:r>
        </a:p>
        <a:p>
          <a:r>
            <a:rPr lang="en-US" sz="1200">
              <a:latin typeface="+mj-lt"/>
            </a:rPr>
            <a:t>OR</a:t>
          </a:r>
        </a:p>
        <a:p>
          <a:r>
            <a:rPr lang="en-US" sz="1000" i="1">
              <a:solidFill>
                <a:srgbClr val="FF0000"/>
              </a:solidFill>
              <a:latin typeface="+mj-lt"/>
            </a:rPr>
            <a:t>if Sevelamer Carbonate tablets not tolerated</a:t>
          </a:r>
          <a:endParaRPr lang="en-US" sz="1000">
            <a:solidFill>
              <a:srgbClr val="FF0000"/>
            </a:solidFill>
            <a:latin typeface="+mj-lt"/>
          </a:endParaRPr>
        </a:p>
        <a:p>
          <a:r>
            <a:rPr lang="en-US" sz="1200">
              <a:latin typeface="+mj-lt"/>
            </a:rPr>
            <a:t>Sucroferric Oxyhydroxide 500mg chewable tablets </a:t>
          </a:r>
        </a:p>
        <a:p>
          <a:r>
            <a:rPr lang="en-US" sz="1200" b="1">
              <a:latin typeface="+mj-lt"/>
            </a:rPr>
            <a:t>Velphoro</a:t>
          </a:r>
          <a:r>
            <a:rPr lang="en-GB" sz="1200" b="1" baseline="30000">
              <a:latin typeface="+mj-lt"/>
            </a:rPr>
            <a:t>®</a:t>
          </a:r>
          <a:endParaRPr lang="en-GB" sz="900" b="1">
            <a:latin typeface="+mj-lt"/>
          </a:endParaRPr>
        </a:p>
        <a:p>
          <a:r>
            <a:rPr lang="en-GB" sz="1200">
              <a:latin typeface="+mj-lt"/>
            </a:rPr>
            <a:t>ONE tablet to be taken with each meal. Titrate to response. If exceeding 3 tablets a day, consider Fosrenol</a:t>
          </a:r>
          <a:r>
            <a:rPr lang="en-GB" sz="1200" baseline="30000">
              <a:latin typeface="+mj-lt"/>
            </a:rPr>
            <a:t>®</a:t>
          </a:r>
          <a:r>
            <a:rPr lang="en-GB" sz="1200">
              <a:latin typeface="+mj-lt"/>
            </a:rPr>
            <a:t>.</a:t>
          </a:r>
        </a:p>
        <a:p>
          <a:r>
            <a:rPr lang="en-GB" sz="1200">
              <a:latin typeface="+mj-lt"/>
            </a:rPr>
            <a:t>OR</a:t>
          </a:r>
        </a:p>
        <a:p>
          <a:r>
            <a:rPr lang="en-US" sz="1200">
              <a:latin typeface="+mj-lt"/>
            </a:rPr>
            <a:t>Sevelamer Carbonate 2.4g powder for oral suspension </a:t>
          </a:r>
        </a:p>
        <a:p>
          <a:r>
            <a:rPr lang="en-US" sz="1200" b="1">
              <a:latin typeface="+mj-lt"/>
            </a:rPr>
            <a:t>Renvela</a:t>
          </a:r>
          <a:r>
            <a:rPr lang="en-GB" sz="1200" b="1" baseline="30000">
              <a:latin typeface="+mj-lt"/>
            </a:rPr>
            <a:t>®</a:t>
          </a:r>
          <a:endParaRPr lang="en-US" sz="900" b="1" baseline="0">
            <a:latin typeface="+mj-lt"/>
          </a:endParaRPr>
        </a:p>
        <a:p>
          <a:r>
            <a:rPr lang="en-US" sz="1200">
              <a:latin typeface="+mj-lt"/>
            </a:rPr>
            <a:t>Consider 2.4g (1 sachet) as a starting dose. Titrate to response. If exceeding 3 sachets a day, consider Fosrenol</a:t>
          </a:r>
          <a:r>
            <a:rPr lang="en-GB" sz="1200" baseline="30000">
              <a:latin typeface="+mj-lt"/>
            </a:rPr>
            <a:t>®</a:t>
          </a:r>
          <a:r>
            <a:rPr lang="en-US" sz="1200">
              <a:latin typeface="+mj-lt"/>
            </a:rPr>
            <a:t>. </a:t>
          </a:r>
        </a:p>
        <a:p>
          <a:endParaRPr lang="en-US" sz="1200"/>
        </a:p>
      </dgm:t>
    </dgm:pt>
    <dgm:pt modelId="{33721853-E535-9C40-BF3B-D9AEB7171448}" type="parTrans" cxnId="{92B4D7E0-E31C-6848-B89A-6D83C9661297}">
      <dgm:prSet/>
      <dgm:spPr/>
      <dgm:t>
        <a:bodyPr/>
        <a:lstStyle/>
        <a:p>
          <a:endParaRPr lang="en-US"/>
        </a:p>
      </dgm:t>
    </dgm:pt>
    <dgm:pt modelId="{7145268B-A957-5443-98BC-2403E19C6E71}" type="sibTrans" cxnId="{92B4D7E0-E31C-6848-B89A-6D83C9661297}">
      <dgm:prSet/>
      <dgm:spPr/>
      <dgm:t>
        <a:bodyPr/>
        <a:lstStyle/>
        <a:p>
          <a:endParaRPr lang="en-US"/>
        </a:p>
      </dgm:t>
    </dgm:pt>
    <dgm:pt modelId="{0DFFF68C-E2AA-A742-B410-C6C79128A67D}" type="pres">
      <dgm:prSet presAssocID="{00E4B677-03ED-734E-873A-6685E09A831B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3717AF78-6F90-7541-A2F8-2E32E31FDB5E}" type="pres">
      <dgm:prSet presAssocID="{D93D7D60-67AA-B742-B051-921C89796025}" presName="composite" presStyleCnt="0"/>
      <dgm:spPr/>
      <dgm:t>
        <a:bodyPr/>
        <a:lstStyle/>
        <a:p>
          <a:endParaRPr lang="en-US"/>
        </a:p>
      </dgm:t>
    </dgm:pt>
    <dgm:pt modelId="{C0AC6806-ADB7-6F49-BEE9-0B11FA45B5BE}" type="pres">
      <dgm:prSet presAssocID="{D93D7D60-67AA-B742-B051-921C89796025}" presName="LShape" presStyleLbl="alignNode1" presStyleIdx="0" presStyleCnt="5"/>
      <dgm:spPr/>
      <dgm:t>
        <a:bodyPr/>
        <a:lstStyle/>
        <a:p>
          <a:endParaRPr lang="en-US"/>
        </a:p>
      </dgm:t>
    </dgm:pt>
    <dgm:pt modelId="{8F6331BB-5E7F-3E44-B485-58336AC20D5E}" type="pres">
      <dgm:prSet presAssocID="{D93D7D60-67AA-B742-B051-921C89796025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FCC12F-D83D-0442-8F67-7AE1A1F74572}" type="pres">
      <dgm:prSet presAssocID="{D93D7D60-67AA-B742-B051-921C89796025}" presName="Triangle" presStyleLbl="alignNode1" presStyleIdx="1" presStyleCnt="5"/>
      <dgm:spPr/>
      <dgm:t>
        <a:bodyPr/>
        <a:lstStyle/>
        <a:p>
          <a:endParaRPr lang="en-US"/>
        </a:p>
      </dgm:t>
    </dgm:pt>
    <dgm:pt modelId="{AAF14203-E7A0-DE42-94ED-64665D04119D}" type="pres">
      <dgm:prSet presAssocID="{DE7F3FC1-8E81-F34E-B7FF-A903C7F548BA}" presName="sibTrans" presStyleCnt="0"/>
      <dgm:spPr/>
      <dgm:t>
        <a:bodyPr/>
        <a:lstStyle/>
        <a:p>
          <a:endParaRPr lang="en-US"/>
        </a:p>
      </dgm:t>
    </dgm:pt>
    <dgm:pt modelId="{80C17CBF-6D79-074E-B067-1E4B441B8710}" type="pres">
      <dgm:prSet presAssocID="{DE7F3FC1-8E81-F34E-B7FF-A903C7F548BA}" presName="space" presStyleCnt="0"/>
      <dgm:spPr/>
      <dgm:t>
        <a:bodyPr/>
        <a:lstStyle/>
        <a:p>
          <a:endParaRPr lang="en-US"/>
        </a:p>
      </dgm:t>
    </dgm:pt>
    <dgm:pt modelId="{28FF1C6B-9091-B444-8B0E-83DB4D01F64E}" type="pres">
      <dgm:prSet presAssocID="{984AC5DA-B97B-0149-9BCB-99F6B531DD9D}" presName="composite" presStyleCnt="0"/>
      <dgm:spPr/>
      <dgm:t>
        <a:bodyPr/>
        <a:lstStyle/>
        <a:p>
          <a:endParaRPr lang="en-US"/>
        </a:p>
      </dgm:t>
    </dgm:pt>
    <dgm:pt modelId="{E5ED5090-299B-424F-A46C-2C392BCB2BB2}" type="pres">
      <dgm:prSet presAssocID="{984AC5DA-B97B-0149-9BCB-99F6B531DD9D}" presName="LShape" presStyleLbl="alignNode1" presStyleIdx="2" presStyleCnt="5"/>
      <dgm:spPr/>
      <dgm:t>
        <a:bodyPr/>
        <a:lstStyle/>
        <a:p>
          <a:endParaRPr lang="en-US"/>
        </a:p>
      </dgm:t>
    </dgm:pt>
    <dgm:pt modelId="{3E8706D3-BAC6-BF48-B7FA-0E31A87AD47F}" type="pres">
      <dgm:prSet presAssocID="{984AC5DA-B97B-0149-9BCB-99F6B531DD9D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B36B-9780-4A43-8131-F73D51872FC3}" type="pres">
      <dgm:prSet presAssocID="{984AC5DA-B97B-0149-9BCB-99F6B531DD9D}" presName="Triangle" presStyleLbl="alignNode1" presStyleIdx="3" presStyleCnt="5"/>
      <dgm:spPr/>
      <dgm:t>
        <a:bodyPr/>
        <a:lstStyle/>
        <a:p>
          <a:endParaRPr lang="en-US"/>
        </a:p>
      </dgm:t>
    </dgm:pt>
    <dgm:pt modelId="{439C54F4-DAB2-EE40-B41C-8177BE39D8A5}" type="pres">
      <dgm:prSet presAssocID="{7145268B-A957-5443-98BC-2403E19C6E71}" presName="sibTrans" presStyleCnt="0"/>
      <dgm:spPr/>
      <dgm:t>
        <a:bodyPr/>
        <a:lstStyle/>
        <a:p>
          <a:endParaRPr lang="en-US"/>
        </a:p>
      </dgm:t>
    </dgm:pt>
    <dgm:pt modelId="{1B6FB92D-CC37-2E47-96EE-4E913FC6EAA2}" type="pres">
      <dgm:prSet presAssocID="{7145268B-A957-5443-98BC-2403E19C6E71}" presName="space" presStyleCnt="0"/>
      <dgm:spPr/>
      <dgm:t>
        <a:bodyPr/>
        <a:lstStyle/>
        <a:p>
          <a:endParaRPr lang="en-US"/>
        </a:p>
      </dgm:t>
    </dgm:pt>
    <dgm:pt modelId="{62D107D0-80AF-964E-9C45-C6C2729A19AF}" type="pres">
      <dgm:prSet presAssocID="{588227F3-CC39-DA42-8D68-7FFAD038805A}" presName="composite" presStyleCnt="0"/>
      <dgm:spPr/>
      <dgm:t>
        <a:bodyPr/>
        <a:lstStyle/>
        <a:p>
          <a:endParaRPr lang="en-US"/>
        </a:p>
      </dgm:t>
    </dgm:pt>
    <dgm:pt modelId="{1366C950-F90A-4B47-9536-8FA14D0B55A1}" type="pres">
      <dgm:prSet presAssocID="{588227F3-CC39-DA42-8D68-7FFAD038805A}" presName="LShape" presStyleLbl="alignNode1" presStyleIdx="4" presStyleCnt="5"/>
      <dgm:spPr/>
      <dgm:t>
        <a:bodyPr/>
        <a:lstStyle/>
        <a:p>
          <a:endParaRPr lang="en-US"/>
        </a:p>
      </dgm:t>
    </dgm:pt>
    <dgm:pt modelId="{3A340218-DBB1-F64A-943A-9B2A76FE02CB}" type="pres">
      <dgm:prSet presAssocID="{588227F3-CC39-DA42-8D68-7FFAD038805A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9C5929-2588-1243-8BA3-F8519D2D72BD}" type="presOf" srcId="{00E4B677-03ED-734E-873A-6685E09A831B}" destId="{0DFFF68C-E2AA-A742-B410-C6C79128A67D}" srcOrd="0" destOrd="0" presId="urn:microsoft.com/office/officeart/2009/3/layout/StepUpProcess"/>
    <dgm:cxn modelId="{BF8874E1-43BE-7F48-82D7-EA1430A8AD72}" srcId="{00E4B677-03ED-734E-873A-6685E09A831B}" destId="{D93D7D60-67AA-B742-B051-921C89796025}" srcOrd="0" destOrd="0" parTransId="{E7D2243B-8456-2E45-A5FF-FCFBDF3DEDA7}" sibTransId="{DE7F3FC1-8E81-F34E-B7FF-A903C7F548BA}"/>
    <dgm:cxn modelId="{DEBDDAC0-FEC9-9B45-9AA2-E53A7D30DC2F}" srcId="{00E4B677-03ED-734E-873A-6685E09A831B}" destId="{588227F3-CC39-DA42-8D68-7FFAD038805A}" srcOrd="2" destOrd="0" parTransId="{462C3035-F5AB-B448-843F-B4B3F506E438}" sibTransId="{662258C7-C893-1E43-97B6-5906551CA4C1}"/>
    <dgm:cxn modelId="{8255DCCC-D9A8-B446-8F74-0AA6B1CC86D6}" type="presOf" srcId="{D93D7D60-67AA-B742-B051-921C89796025}" destId="{8F6331BB-5E7F-3E44-B485-58336AC20D5E}" srcOrd="0" destOrd="0" presId="urn:microsoft.com/office/officeart/2009/3/layout/StepUpProcess"/>
    <dgm:cxn modelId="{92B4D7E0-E31C-6848-B89A-6D83C9661297}" srcId="{00E4B677-03ED-734E-873A-6685E09A831B}" destId="{984AC5DA-B97B-0149-9BCB-99F6B531DD9D}" srcOrd="1" destOrd="0" parTransId="{33721853-E535-9C40-BF3B-D9AEB7171448}" sibTransId="{7145268B-A957-5443-98BC-2403E19C6E71}"/>
    <dgm:cxn modelId="{CBEFFCE8-CAD2-3240-BCA9-A85BA0494B00}" type="presOf" srcId="{984AC5DA-B97B-0149-9BCB-99F6B531DD9D}" destId="{3E8706D3-BAC6-BF48-B7FA-0E31A87AD47F}" srcOrd="0" destOrd="0" presId="urn:microsoft.com/office/officeart/2009/3/layout/StepUpProcess"/>
    <dgm:cxn modelId="{AD3D9270-0C65-4040-95D1-30180F874011}" type="presOf" srcId="{588227F3-CC39-DA42-8D68-7FFAD038805A}" destId="{3A340218-DBB1-F64A-943A-9B2A76FE02CB}" srcOrd="0" destOrd="0" presId="urn:microsoft.com/office/officeart/2009/3/layout/StepUpProcess"/>
    <dgm:cxn modelId="{5D8A1796-C1AA-6041-8258-62562AEE3974}" type="presParOf" srcId="{0DFFF68C-E2AA-A742-B410-C6C79128A67D}" destId="{3717AF78-6F90-7541-A2F8-2E32E31FDB5E}" srcOrd="0" destOrd="0" presId="urn:microsoft.com/office/officeart/2009/3/layout/StepUpProcess"/>
    <dgm:cxn modelId="{E17E74B8-1D7C-F94D-9337-210741981269}" type="presParOf" srcId="{3717AF78-6F90-7541-A2F8-2E32E31FDB5E}" destId="{C0AC6806-ADB7-6F49-BEE9-0B11FA45B5BE}" srcOrd="0" destOrd="0" presId="urn:microsoft.com/office/officeart/2009/3/layout/StepUpProcess"/>
    <dgm:cxn modelId="{40595048-5C9B-C14C-9D4A-BCF1E0A919BB}" type="presParOf" srcId="{3717AF78-6F90-7541-A2F8-2E32E31FDB5E}" destId="{8F6331BB-5E7F-3E44-B485-58336AC20D5E}" srcOrd="1" destOrd="0" presId="urn:microsoft.com/office/officeart/2009/3/layout/StepUpProcess"/>
    <dgm:cxn modelId="{82FCAC17-421E-DE4B-9A9B-A64DB7B07803}" type="presParOf" srcId="{3717AF78-6F90-7541-A2F8-2E32E31FDB5E}" destId="{F9FCC12F-D83D-0442-8F67-7AE1A1F74572}" srcOrd="2" destOrd="0" presId="urn:microsoft.com/office/officeart/2009/3/layout/StepUpProcess"/>
    <dgm:cxn modelId="{64291AF4-5F9C-CC42-972E-D41C6AAFD97C}" type="presParOf" srcId="{0DFFF68C-E2AA-A742-B410-C6C79128A67D}" destId="{AAF14203-E7A0-DE42-94ED-64665D04119D}" srcOrd="1" destOrd="0" presId="urn:microsoft.com/office/officeart/2009/3/layout/StepUpProcess"/>
    <dgm:cxn modelId="{87B7F130-1B33-B247-A7E2-207A89F3AB59}" type="presParOf" srcId="{AAF14203-E7A0-DE42-94ED-64665D04119D}" destId="{80C17CBF-6D79-074E-B067-1E4B441B8710}" srcOrd="0" destOrd="0" presId="urn:microsoft.com/office/officeart/2009/3/layout/StepUpProcess"/>
    <dgm:cxn modelId="{E2B13D61-E28C-2949-8C88-25F1BD8CBA05}" type="presParOf" srcId="{0DFFF68C-E2AA-A742-B410-C6C79128A67D}" destId="{28FF1C6B-9091-B444-8B0E-83DB4D01F64E}" srcOrd="2" destOrd="0" presId="urn:microsoft.com/office/officeart/2009/3/layout/StepUpProcess"/>
    <dgm:cxn modelId="{FB8982ED-95E5-6E45-8D20-D0079943036A}" type="presParOf" srcId="{28FF1C6B-9091-B444-8B0E-83DB4D01F64E}" destId="{E5ED5090-299B-424F-A46C-2C392BCB2BB2}" srcOrd="0" destOrd="0" presId="urn:microsoft.com/office/officeart/2009/3/layout/StepUpProcess"/>
    <dgm:cxn modelId="{DF883199-775F-DD40-AD8A-8F9AEC1C34A7}" type="presParOf" srcId="{28FF1C6B-9091-B444-8B0E-83DB4D01F64E}" destId="{3E8706D3-BAC6-BF48-B7FA-0E31A87AD47F}" srcOrd="1" destOrd="0" presId="urn:microsoft.com/office/officeart/2009/3/layout/StepUpProcess"/>
    <dgm:cxn modelId="{180B5D11-E177-AE43-8F75-A386799BB73D}" type="presParOf" srcId="{28FF1C6B-9091-B444-8B0E-83DB4D01F64E}" destId="{4915B36B-9780-4A43-8131-F73D51872FC3}" srcOrd="2" destOrd="0" presId="urn:microsoft.com/office/officeart/2009/3/layout/StepUpProcess"/>
    <dgm:cxn modelId="{FCD0D9F0-E3F6-FF4B-AAD4-21A0CA78C664}" type="presParOf" srcId="{0DFFF68C-E2AA-A742-B410-C6C79128A67D}" destId="{439C54F4-DAB2-EE40-B41C-8177BE39D8A5}" srcOrd="3" destOrd="0" presId="urn:microsoft.com/office/officeart/2009/3/layout/StepUpProcess"/>
    <dgm:cxn modelId="{ABCEFB0B-0C6E-1745-8429-9437A86E0031}" type="presParOf" srcId="{439C54F4-DAB2-EE40-B41C-8177BE39D8A5}" destId="{1B6FB92D-CC37-2E47-96EE-4E913FC6EAA2}" srcOrd="0" destOrd="0" presId="urn:microsoft.com/office/officeart/2009/3/layout/StepUpProcess"/>
    <dgm:cxn modelId="{E6DBA335-C6B9-E348-9590-1875FA165DB2}" type="presParOf" srcId="{0DFFF68C-E2AA-A742-B410-C6C79128A67D}" destId="{62D107D0-80AF-964E-9C45-C6C2729A19AF}" srcOrd="4" destOrd="0" presId="urn:microsoft.com/office/officeart/2009/3/layout/StepUpProcess"/>
    <dgm:cxn modelId="{653E6753-E4DD-424A-BD93-765418A7F40D}" type="presParOf" srcId="{62D107D0-80AF-964E-9C45-C6C2729A19AF}" destId="{1366C950-F90A-4B47-9536-8FA14D0B55A1}" srcOrd="0" destOrd="0" presId="urn:microsoft.com/office/officeart/2009/3/layout/StepUpProcess"/>
    <dgm:cxn modelId="{C889635A-33E7-F04B-B781-0C25F88C0FD1}" type="presParOf" srcId="{62D107D0-80AF-964E-9C45-C6C2729A19AF}" destId="{3A340218-DBB1-F64A-943A-9B2A76FE02CB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0AC6806-ADB7-6F49-BEE9-0B11FA45B5BE}">
      <dsp:nvSpPr>
        <dsp:cNvPr id="0" name=""/>
        <dsp:cNvSpPr/>
      </dsp:nvSpPr>
      <dsp:spPr>
        <a:xfrm rot="5400000">
          <a:off x="585783" y="1231749"/>
          <a:ext cx="1762675" cy="2933052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6331BB-5E7F-3E44-B485-58336AC20D5E}">
      <dsp:nvSpPr>
        <dsp:cNvPr id="0" name=""/>
        <dsp:cNvSpPr/>
      </dsp:nvSpPr>
      <dsp:spPr>
        <a:xfrm>
          <a:off x="291548" y="2108100"/>
          <a:ext cx="2647976" cy="23211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Calcium Acetate 1g tablets (equivalent to 250mg calcium)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+mj-lt"/>
            </a:rPr>
            <a:t>Phosex</a:t>
          </a:r>
          <a:r>
            <a:rPr lang="en-GB" sz="1300" b="1" kern="1200" baseline="30000">
              <a:latin typeface="+mj-lt"/>
            </a:rPr>
            <a:t>®  </a:t>
          </a:r>
          <a:endParaRPr lang="en-GB" sz="900" b="1" kern="1200" baseline="300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OR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i="1" kern="1200">
              <a:solidFill>
                <a:srgbClr val="FF0000"/>
              </a:solidFill>
              <a:latin typeface="+mj-lt"/>
            </a:rPr>
            <a:t>if Phosex</a:t>
          </a:r>
          <a:r>
            <a:rPr lang="en-GB" sz="1000" b="0" i="1" kern="1200" baseline="30000">
              <a:solidFill>
                <a:srgbClr val="FF0000"/>
              </a:solidFill>
              <a:latin typeface="+mj-lt"/>
            </a:rPr>
            <a:t>®</a:t>
          </a:r>
          <a:r>
            <a:rPr lang="en-GB" sz="1000" b="0" i="1" kern="1200">
              <a:solidFill>
                <a:srgbClr val="FF0000"/>
              </a:solidFill>
              <a:latin typeface="+mj-lt"/>
            </a:rPr>
            <a:t> not tolerated</a:t>
          </a:r>
          <a:endParaRPr lang="en-US" sz="1200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Calcium Carbonate 1500mg chewable tablets (equivalent to 600mg calcium)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+mj-lt"/>
            </a:rPr>
            <a:t>Adcal</a:t>
          </a:r>
          <a:r>
            <a:rPr lang="en-GB" sz="1300" b="1" kern="1200" baseline="30000">
              <a:latin typeface="+mj-lt"/>
            </a:rPr>
            <a:t>®</a:t>
          </a:r>
          <a:endParaRPr lang="en-GB" sz="900" b="1" kern="1200" baseline="300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ONE tablet to be taken with each meal. If exceeding 3 tablets a day, consider non-calcium based binder.</a:t>
          </a:r>
        </a:p>
      </dsp:txBody>
      <dsp:txXfrm>
        <a:off x="291548" y="2108100"/>
        <a:ext cx="2647976" cy="2321106"/>
      </dsp:txXfrm>
    </dsp:sp>
    <dsp:sp modelId="{F9FCC12F-D83D-0442-8F67-7AE1A1F74572}">
      <dsp:nvSpPr>
        <dsp:cNvPr id="0" name=""/>
        <dsp:cNvSpPr/>
      </dsp:nvSpPr>
      <dsp:spPr>
        <a:xfrm>
          <a:off x="2439906" y="1015814"/>
          <a:ext cx="499618" cy="499618"/>
        </a:xfrm>
        <a:prstGeom prst="triangle">
          <a:avLst>
            <a:gd name="adj" fmla="val 10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ED5090-299B-424F-A46C-2C392BCB2BB2}">
      <dsp:nvSpPr>
        <dsp:cNvPr id="0" name=""/>
        <dsp:cNvSpPr/>
      </dsp:nvSpPr>
      <dsp:spPr>
        <a:xfrm rot="5400000">
          <a:off x="3827423" y="429602"/>
          <a:ext cx="1762675" cy="2933052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8706D3-BAC6-BF48-B7FA-0E31A87AD47F}">
      <dsp:nvSpPr>
        <dsp:cNvPr id="0" name=""/>
        <dsp:cNvSpPr/>
      </dsp:nvSpPr>
      <dsp:spPr>
        <a:xfrm>
          <a:off x="3533188" y="1305952"/>
          <a:ext cx="2647976" cy="23211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Sevelamer Carbonate 800mg tablets </a:t>
          </a:r>
          <a:r>
            <a:rPr lang="en-US" sz="1300" b="1" kern="1200">
              <a:latin typeface="+mj-lt"/>
            </a:rPr>
            <a:t>Generic</a:t>
          </a:r>
          <a:endParaRPr lang="en-US" sz="900" b="1" i="1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ONE tablet to be taken with each meal. Titrate to response. If exceeding 8 tablets a day, consider Fosrenol</a:t>
          </a:r>
          <a:r>
            <a:rPr lang="en-GB" sz="1200" kern="1200" baseline="30000">
              <a:latin typeface="+mj-lt"/>
            </a:rPr>
            <a:t>®</a:t>
          </a:r>
          <a:r>
            <a:rPr lang="en-GB" sz="1200" kern="1200">
              <a:latin typeface="+mj-lt"/>
            </a:rPr>
            <a:t>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OR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solidFill>
                <a:srgbClr val="FF0000"/>
              </a:solidFill>
              <a:latin typeface="+mj-lt"/>
            </a:rPr>
            <a:t>if Sevelamer Carbonate tablets not tolerated</a:t>
          </a:r>
          <a:endParaRPr lang="en-US" sz="1000" kern="1200">
            <a:solidFill>
              <a:srgbClr val="FF0000"/>
            </a:solidFill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Sucroferric Oxyhydroxide 500mg chewable tablets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+mj-lt"/>
            </a:rPr>
            <a:t>Velphoro</a:t>
          </a:r>
          <a:r>
            <a:rPr lang="en-GB" sz="1200" b="1" kern="1200" baseline="30000">
              <a:latin typeface="+mj-lt"/>
            </a:rPr>
            <a:t>®</a:t>
          </a:r>
          <a:endParaRPr lang="en-GB" sz="900" b="1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ONE tablet to be taken with each meal. Titrate to response. If exceeding 3 tablets a day, consider Fosrenol</a:t>
          </a:r>
          <a:r>
            <a:rPr lang="en-GB" sz="1200" kern="1200" baseline="30000">
              <a:latin typeface="+mj-lt"/>
            </a:rPr>
            <a:t>®</a:t>
          </a:r>
          <a:r>
            <a:rPr lang="en-GB" sz="1200" kern="1200">
              <a:latin typeface="+mj-lt"/>
            </a:rPr>
            <a:t>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OR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Sevelamer Carbonate 2.4g powder for oral suspension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+mj-lt"/>
            </a:rPr>
            <a:t>Renvela</a:t>
          </a:r>
          <a:r>
            <a:rPr lang="en-GB" sz="1200" b="1" kern="1200" baseline="30000">
              <a:latin typeface="+mj-lt"/>
            </a:rPr>
            <a:t>®</a:t>
          </a:r>
          <a:endParaRPr lang="en-US" sz="900" b="1" kern="1200" baseline="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Consider 2.4g (1 sachet) as a starting dose. Titrate to response. If exceeding 3 sachets a day, consider Fosrenol</a:t>
          </a:r>
          <a:r>
            <a:rPr lang="en-GB" sz="1200" kern="1200" baseline="30000">
              <a:latin typeface="+mj-lt"/>
            </a:rPr>
            <a:t>®</a:t>
          </a:r>
          <a:r>
            <a:rPr lang="en-US" sz="1200" kern="1200">
              <a:latin typeface="+mj-lt"/>
            </a:rPr>
            <a:t>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533188" y="1305952"/>
        <a:ext cx="2647976" cy="2321106"/>
      </dsp:txXfrm>
    </dsp:sp>
    <dsp:sp modelId="{4915B36B-9780-4A43-8131-F73D51872FC3}">
      <dsp:nvSpPr>
        <dsp:cNvPr id="0" name=""/>
        <dsp:cNvSpPr/>
      </dsp:nvSpPr>
      <dsp:spPr>
        <a:xfrm>
          <a:off x="5681546" y="213667"/>
          <a:ext cx="499618" cy="499618"/>
        </a:xfrm>
        <a:prstGeom prst="triangle">
          <a:avLst>
            <a:gd name="adj" fmla="val 10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66C950-F90A-4B47-9536-8FA14D0B55A1}">
      <dsp:nvSpPr>
        <dsp:cNvPr id="0" name=""/>
        <dsp:cNvSpPr/>
      </dsp:nvSpPr>
      <dsp:spPr>
        <a:xfrm rot="5400000">
          <a:off x="7069063" y="-372544"/>
          <a:ext cx="1762675" cy="2933052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340218-DBB1-F64A-943A-9B2A76FE02CB}">
      <dsp:nvSpPr>
        <dsp:cNvPr id="0" name=""/>
        <dsp:cNvSpPr/>
      </dsp:nvSpPr>
      <dsp:spPr>
        <a:xfrm>
          <a:off x="6774829" y="503805"/>
          <a:ext cx="2647976" cy="23211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Lanthanum Carbonate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750mg/1000mg chewable tablets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+mj-lt"/>
            </a:rPr>
            <a:t>Fosrenol</a:t>
          </a:r>
          <a:r>
            <a:rPr lang="en-GB" sz="1300" b="1" kern="1200" baseline="30000">
              <a:latin typeface="+mj-lt"/>
            </a:rPr>
            <a:t>®</a:t>
          </a:r>
          <a:endParaRPr lang="en-GB" sz="900" b="1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Consider 750mg-1000mg with each meal. Titrate to response. Maximum 3000mg a day.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OR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solidFill>
                <a:srgbClr val="FF0000"/>
              </a:solidFill>
              <a:latin typeface="+mj-lt"/>
            </a:rPr>
            <a:t>if Fosrenol</a:t>
          </a:r>
          <a:r>
            <a:rPr lang="en-GB" sz="1000" b="1" kern="1200" baseline="30000">
              <a:solidFill>
                <a:srgbClr val="FF0000"/>
              </a:solidFill>
              <a:latin typeface="+mj-lt"/>
            </a:rPr>
            <a:t>®</a:t>
          </a:r>
          <a:r>
            <a:rPr lang="en-US" sz="1000" i="1" kern="1200" baseline="30000">
              <a:solidFill>
                <a:srgbClr val="FF0000"/>
              </a:solidFill>
              <a:latin typeface="+mj-lt"/>
            </a:rPr>
            <a:t> </a:t>
          </a:r>
          <a:r>
            <a:rPr lang="en-US" sz="1000" i="1" kern="1200">
              <a:solidFill>
                <a:srgbClr val="FF0000"/>
              </a:solidFill>
              <a:latin typeface="+mj-lt"/>
            </a:rPr>
            <a:t>tablets not tolerated</a:t>
          </a:r>
          <a:endParaRPr lang="en-GB" sz="1000" kern="1200">
            <a:solidFill>
              <a:srgbClr val="FF0000"/>
            </a:solidFill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Lanthanum Carbonate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750mg/1000mg oral powder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+mj-lt"/>
            </a:rPr>
            <a:t>Fosrenol</a:t>
          </a:r>
          <a:r>
            <a:rPr lang="en-GB" sz="1300" b="1" kern="1200" baseline="30000">
              <a:latin typeface="+mj-lt"/>
            </a:rPr>
            <a:t>®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Consider 750mg-1000mg with each meal. Titrate to response. Maximum 3000mg a day.</a:t>
          </a:r>
          <a:endParaRPr lang="en-GB" sz="1200" b="1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i="1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i="1" kern="1200">
              <a:latin typeface="+mj-lt"/>
            </a:rPr>
            <a:t>Consider Sevelamer Carbonate tablets with snacks if required</a:t>
          </a:r>
          <a:endParaRPr lang="en-GB" sz="1200" kern="1200">
            <a:latin typeface="+mj-lt"/>
          </a:endParaRPr>
        </a:p>
      </dsp:txBody>
      <dsp:txXfrm>
        <a:off x="6774829" y="503805"/>
        <a:ext cx="2647976" cy="23211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881C0-714A-4352-9769-5AFD19ED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Hah</dc:creator>
  <cp:lastModifiedBy>robert.w.hunter</cp:lastModifiedBy>
  <cp:revision>3</cp:revision>
  <cp:lastPrinted>2019-08-28T07:32:00Z</cp:lastPrinted>
  <dcterms:created xsi:type="dcterms:W3CDTF">2022-10-10T12:43:00Z</dcterms:created>
  <dcterms:modified xsi:type="dcterms:W3CDTF">2022-10-10T12:46:00Z</dcterms:modified>
</cp:coreProperties>
</file>