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CC" w:rsidRPr="000E3FCC" w:rsidRDefault="000E3FCC">
      <w:pPr>
        <w:rPr>
          <w:rFonts w:ascii="Calibri" w:hAnsi="Calibri"/>
          <w:sz w:val="28"/>
          <w:szCs w:val="28"/>
        </w:rPr>
      </w:pPr>
      <w:r w:rsidRPr="000E3FCC">
        <w:rPr>
          <w:rFonts w:ascii="Calibri" w:hAnsi="Calibr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5300663</wp:posOffset>
            </wp:positionH>
            <wp:positionV relativeFrom="paragraph">
              <wp:posOffset>-271463</wp:posOffset>
            </wp:positionV>
            <wp:extent cx="879475" cy="879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57" cy="8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0E3FCC">
        <w:rPr>
          <w:rFonts w:ascii="Calibri" w:hAnsi="Calibri"/>
          <w:sz w:val="28"/>
          <w:szCs w:val="28"/>
        </w:rPr>
        <w:t>Renal Directorate Guidelines</w:t>
      </w:r>
    </w:p>
    <w:p w:rsidR="002B2C9C" w:rsidRPr="000E3FCC" w:rsidRDefault="000E3FCC">
      <w:pPr>
        <w:rPr>
          <w:rFonts w:ascii="Calibri" w:hAnsi="Calibri"/>
          <w:sz w:val="28"/>
          <w:szCs w:val="28"/>
        </w:rPr>
      </w:pPr>
      <w:r w:rsidRPr="000E3FCC">
        <w:rPr>
          <w:rFonts w:ascii="Calibri" w:hAnsi="Calibri"/>
          <w:sz w:val="28"/>
          <w:szCs w:val="28"/>
        </w:rPr>
        <w:t>Royal Infirmary of Edinburgh</w:t>
      </w:r>
    </w:p>
    <w:p w:rsidR="000E3FCC" w:rsidRPr="000E3FCC" w:rsidRDefault="000E3FCC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_____________________________________</w:t>
      </w:r>
      <w:r w:rsidR="002B2C9C">
        <w:rPr>
          <w:rFonts w:ascii="Calibri" w:hAnsi="Calibri"/>
          <w:sz w:val="32"/>
          <w:szCs w:val="32"/>
        </w:rPr>
        <w:t>________________________</w:t>
      </w:r>
    </w:p>
    <w:p w:rsidR="006C5AAD" w:rsidRPr="00BE3388" w:rsidRDefault="003B434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Therapeutic anticoagulation in advanced CKD</w:t>
      </w:r>
    </w:p>
    <w:p w:rsidR="0009289E" w:rsidRDefault="0009289E">
      <w:pPr>
        <w:rPr>
          <w:rFonts w:ascii="Calibri" w:hAnsi="Calibri"/>
        </w:rPr>
      </w:pPr>
    </w:p>
    <w:p w:rsidR="003B434C" w:rsidRDefault="00A40E65">
      <w:pPr>
        <w:rPr>
          <w:rFonts w:ascii="Calibri" w:hAnsi="Calibri"/>
        </w:rPr>
      </w:pPr>
      <w:r>
        <w:rPr>
          <w:rFonts w:ascii="Calibri" w:hAnsi="Calibri"/>
        </w:rPr>
        <w:t xml:space="preserve">This protocol applies to patients with a GFR &lt; 30 ml/min or on renal replacement therapy.  </w:t>
      </w:r>
      <w:r w:rsidR="003B434C">
        <w:rPr>
          <w:rFonts w:ascii="Calibri" w:hAnsi="Calibri"/>
        </w:rPr>
        <w:t xml:space="preserve">Options for therapeutic anticoagulation include </w:t>
      </w:r>
      <w:proofErr w:type="spellStart"/>
      <w:r w:rsidR="003B434C">
        <w:rPr>
          <w:rFonts w:ascii="Calibri" w:hAnsi="Calibri"/>
        </w:rPr>
        <w:t>unfractionated</w:t>
      </w:r>
      <w:proofErr w:type="spellEnd"/>
      <w:r w:rsidR="003B434C">
        <w:rPr>
          <w:rFonts w:ascii="Calibri" w:hAnsi="Calibri"/>
        </w:rPr>
        <w:t xml:space="preserve"> heparin</w:t>
      </w:r>
      <w:r w:rsidR="00F74C55">
        <w:rPr>
          <w:rFonts w:ascii="Calibri" w:hAnsi="Calibri"/>
        </w:rPr>
        <w:t xml:space="preserve"> (UFH), low-molecular weight heparin (LMWH) and </w:t>
      </w:r>
      <w:proofErr w:type="spellStart"/>
      <w:r w:rsidR="00F74C55">
        <w:rPr>
          <w:rFonts w:ascii="Calibri" w:hAnsi="Calibri"/>
        </w:rPr>
        <w:t>Warfarin</w:t>
      </w:r>
      <w:proofErr w:type="spellEnd"/>
      <w:r w:rsidR="00F74C55">
        <w:rPr>
          <w:rFonts w:ascii="Calibri" w:hAnsi="Calibri"/>
        </w:rPr>
        <w:t>. LMWH will accumulate in advanced CKD and therefore close monitoring of anti-</w:t>
      </w:r>
      <w:proofErr w:type="spellStart"/>
      <w:r w:rsidR="00F74C55">
        <w:rPr>
          <w:rFonts w:ascii="Calibri" w:hAnsi="Calibri"/>
        </w:rPr>
        <w:t>Xa</w:t>
      </w:r>
      <w:proofErr w:type="spellEnd"/>
      <w:r w:rsidR="00F74C55">
        <w:rPr>
          <w:rFonts w:ascii="Calibri" w:hAnsi="Calibri"/>
        </w:rPr>
        <w:t xml:space="preserve"> (“LWMH assay on </w:t>
      </w:r>
      <w:proofErr w:type="spellStart"/>
      <w:r w:rsidR="00F74C55">
        <w:rPr>
          <w:rFonts w:ascii="Calibri" w:hAnsi="Calibri"/>
        </w:rPr>
        <w:t>Trak</w:t>
      </w:r>
      <w:proofErr w:type="spellEnd"/>
      <w:r w:rsidR="00F74C55">
        <w:rPr>
          <w:rFonts w:ascii="Calibri" w:hAnsi="Calibri"/>
        </w:rPr>
        <w:t xml:space="preserve">”) is required. </w:t>
      </w:r>
    </w:p>
    <w:p w:rsidR="003B434C" w:rsidRDefault="003B434C">
      <w:pPr>
        <w:rPr>
          <w:rFonts w:ascii="Calibri" w:hAnsi="Calibri"/>
        </w:rPr>
      </w:pPr>
    </w:p>
    <w:p w:rsidR="00643578" w:rsidRDefault="00643578">
      <w:pPr>
        <w:rPr>
          <w:rFonts w:ascii="Calibri" w:hAnsi="Calibri"/>
        </w:rPr>
      </w:pPr>
    </w:p>
    <w:p w:rsidR="0009289E" w:rsidRPr="00E83B84" w:rsidRDefault="0009289E">
      <w:pPr>
        <w:rPr>
          <w:rFonts w:ascii="Calibri" w:hAnsi="Calibri"/>
          <w:b/>
          <w:sz w:val="28"/>
          <w:szCs w:val="28"/>
        </w:rPr>
      </w:pPr>
      <w:r w:rsidRPr="0009289E">
        <w:rPr>
          <w:rFonts w:ascii="Calibri" w:hAnsi="Calibri"/>
          <w:b/>
          <w:sz w:val="28"/>
          <w:szCs w:val="28"/>
        </w:rPr>
        <w:t>Low to Moderate Thrombosis Risk</w:t>
      </w:r>
    </w:p>
    <w:p w:rsidR="00643578" w:rsidRPr="00636FCE" w:rsidRDefault="00DF572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Dalteparin</w:t>
      </w:r>
      <w:proofErr w:type="spellEnd"/>
      <w:r w:rsidR="003913F3">
        <w:rPr>
          <w:rFonts w:ascii="Calibri" w:hAnsi="Calibri"/>
        </w:rPr>
        <w:t xml:space="preserve"> </w:t>
      </w:r>
      <w:r w:rsidR="00270E29">
        <w:rPr>
          <w:rFonts w:ascii="Calibri" w:hAnsi="Calibri"/>
        </w:rPr>
        <w:t xml:space="preserve">can be considered for the following indications: </w:t>
      </w:r>
    </w:p>
    <w:p w:rsidR="007960FA" w:rsidRPr="00636FCE" w:rsidRDefault="00F74C55" w:rsidP="00F74C55">
      <w:pPr>
        <w:pStyle w:val="ListParagraph"/>
        <w:numPr>
          <w:ilvl w:val="0"/>
          <w:numId w:val="6"/>
        </w:numPr>
        <w:ind w:left="709" w:hanging="425"/>
        <w:rPr>
          <w:rFonts w:ascii="Calibri" w:hAnsi="Calibri"/>
        </w:rPr>
      </w:pPr>
      <w:proofErr w:type="spellStart"/>
      <w:r>
        <w:rPr>
          <w:rFonts w:ascii="Calibri" w:hAnsi="Calibri"/>
        </w:rPr>
        <w:t>a</w:t>
      </w:r>
      <w:r w:rsidR="007960FA" w:rsidRPr="00636FCE">
        <w:rPr>
          <w:rFonts w:ascii="Calibri" w:hAnsi="Calibri"/>
        </w:rPr>
        <w:t>trial</w:t>
      </w:r>
      <w:proofErr w:type="spellEnd"/>
      <w:r w:rsidR="007960FA" w:rsidRPr="00636FCE">
        <w:rPr>
          <w:rFonts w:ascii="Calibri" w:hAnsi="Calibri"/>
        </w:rPr>
        <w:t xml:space="preserve"> fibrillation</w:t>
      </w:r>
    </w:p>
    <w:p w:rsidR="007960FA" w:rsidRDefault="00F74C55" w:rsidP="00F74C55">
      <w:pPr>
        <w:pStyle w:val="ListParagraph"/>
        <w:numPr>
          <w:ilvl w:val="0"/>
          <w:numId w:val="6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m</w:t>
      </w:r>
      <w:r w:rsidR="007960FA" w:rsidRPr="00636FCE">
        <w:rPr>
          <w:rFonts w:ascii="Calibri" w:hAnsi="Calibri"/>
        </w:rPr>
        <w:t>aintenance anticoagulation for deep vein thrombosis (DVT) or pulmonary embolism (PE)</w:t>
      </w:r>
    </w:p>
    <w:p w:rsidR="00F74C55" w:rsidRPr="00F74C55" w:rsidRDefault="00F74C55" w:rsidP="00F74C55">
      <w:pPr>
        <w:rPr>
          <w:rFonts w:ascii="Calibri" w:hAnsi="Calibri"/>
        </w:rPr>
      </w:pPr>
    </w:p>
    <w:p w:rsidR="001821A3" w:rsidRPr="001821A3" w:rsidRDefault="00F74C55" w:rsidP="001821A3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1821A3" w:rsidRPr="001821A3">
        <w:rPr>
          <w:rFonts w:ascii="Calibri" w:hAnsi="Calibri"/>
        </w:rPr>
        <w:t xml:space="preserve">nti-factor </w:t>
      </w:r>
      <w:proofErr w:type="spellStart"/>
      <w:r w:rsidR="001821A3" w:rsidRPr="001821A3">
        <w:rPr>
          <w:rFonts w:ascii="Calibri" w:hAnsi="Calibri"/>
        </w:rPr>
        <w:t>Xa</w:t>
      </w:r>
      <w:proofErr w:type="spellEnd"/>
      <w:r w:rsidR="001821A3" w:rsidRPr="001821A3">
        <w:rPr>
          <w:rFonts w:ascii="Calibri" w:hAnsi="Calibri"/>
        </w:rPr>
        <w:t xml:space="preserve"> levels should be measured and </w:t>
      </w:r>
      <w:r>
        <w:rPr>
          <w:rFonts w:ascii="Calibri" w:hAnsi="Calibri"/>
        </w:rPr>
        <w:t xml:space="preserve">the </w:t>
      </w:r>
      <w:r w:rsidR="001821A3" w:rsidRPr="001821A3">
        <w:rPr>
          <w:rFonts w:ascii="Calibri" w:hAnsi="Calibri"/>
        </w:rPr>
        <w:t>dose adjusted accordingly.</w:t>
      </w:r>
    </w:p>
    <w:p w:rsidR="00636FCE" w:rsidRPr="001821A3" w:rsidRDefault="00636FCE" w:rsidP="001821A3">
      <w:pPr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969"/>
        <w:gridCol w:w="5529"/>
      </w:tblGrid>
      <w:tr w:rsidR="00F74C55" w:rsidRPr="00636FCE" w:rsidTr="00F74C55">
        <w:tc>
          <w:tcPr>
            <w:tcW w:w="9498" w:type="dxa"/>
            <w:gridSpan w:val="2"/>
          </w:tcPr>
          <w:p w:rsidR="00F74C55" w:rsidRPr="0009289E" w:rsidRDefault="00F74C55" w:rsidP="00F74C55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Dalteparin</w:t>
            </w:r>
            <w:proofErr w:type="spellEnd"/>
          </w:p>
        </w:tc>
      </w:tr>
      <w:tr w:rsidR="00F74C55" w:rsidRPr="00636FCE" w:rsidTr="00F74C55">
        <w:tc>
          <w:tcPr>
            <w:tcW w:w="3969" w:type="dxa"/>
          </w:tcPr>
          <w:p w:rsidR="00F74C55" w:rsidRPr="0009289E" w:rsidRDefault="00F74C55" w:rsidP="0009289E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Dose calculation</w:t>
            </w:r>
          </w:p>
        </w:tc>
        <w:tc>
          <w:tcPr>
            <w:tcW w:w="5529" w:type="dxa"/>
          </w:tcPr>
          <w:p w:rsidR="00F74C55" w:rsidRPr="00F74C55" w:rsidRDefault="00F74C55" w:rsidP="0009289E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 xml:space="preserve">Anti-factor </w:t>
            </w:r>
            <w:proofErr w:type="spellStart"/>
            <w:r w:rsidRPr="0009289E">
              <w:rPr>
                <w:rFonts w:ascii="Calibri" w:hAnsi="Calibri"/>
                <w:b/>
              </w:rPr>
              <w:t>Xa</w:t>
            </w:r>
            <w:proofErr w:type="spellEnd"/>
            <w:r w:rsidRPr="0009289E">
              <w:rPr>
                <w:rFonts w:ascii="Calibri" w:hAnsi="Calibri"/>
                <w:b/>
              </w:rPr>
              <w:t xml:space="preserve"> monitoring</w:t>
            </w:r>
          </w:p>
        </w:tc>
      </w:tr>
      <w:tr w:rsidR="00F74C55" w:rsidRPr="00636FCE" w:rsidTr="00F74C55">
        <w:tc>
          <w:tcPr>
            <w:tcW w:w="3969" w:type="dxa"/>
          </w:tcPr>
          <w:p w:rsidR="00F74C55" w:rsidRDefault="00F74C55" w:rsidP="00636FCE">
            <w:pPr>
              <w:rPr>
                <w:rFonts w:ascii="Calibri" w:hAnsi="Calibri"/>
              </w:rPr>
            </w:pPr>
            <w:proofErr w:type="spellStart"/>
            <w:r w:rsidRPr="00636FCE">
              <w:rPr>
                <w:rFonts w:ascii="Calibri" w:hAnsi="Calibri"/>
              </w:rPr>
              <w:t>Dalteparin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636FCE">
              <w:rPr>
                <w:rFonts w:ascii="Calibri" w:hAnsi="Calibri"/>
              </w:rPr>
              <w:t>130units/kg</w:t>
            </w:r>
          </w:p>
          <w:p w:rsidR="00DF572F" w:rsidRPr="00DF572F" w:rsidRDefault="00DF572F" w:rsidP="00636FCE">
            <w:pPr>
              <w:rPr>
                <w:rFonts w:ascii="Calibri" w:hAnsi="Calibri"/>
                <w:i/>
                <w:sz w:val="16"/>
              </w:rPr>
            </w:pPr>
            <w:r w:rsidRPr="00DF572F">
              <w:rPr>
                <w:rFonts w:ascii="Calibri" w:hAnsi="Calibri"/>
                <w:i/>
                <w:sz w:val="16"/>
              </w:rPr>
              <w:t>(NB this dose is 2/3rds of the dose for patients with normal renal function)</w:t>
            </w:r>
          </w:p>
          <w:p w:rsidR="00F74C55" w:rsidRPr="00636FCE" w:rsidRDefault="00F74C55" w:rsidP="00636FCE">
            <w:pPr>
              <w:rPr>
                <w:rFonts w:ascii="Calibri" w:hAnsi="Calibri"/>
              </w:rPr>
            </w:pPr>
          </w:p>
          <w:p w:rsidR="00F74C55" w:rsidRPr="0009289E" w:rsidRDefault="00F74C55" w:rsidP="00636FC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</w:t>
            </w:r>
            <w:r w:rsidRPr="0009289E">
              <w:rPr>
                <w:rFonts w:ascii="Calibri" w:hAnsi="Calibri"/>
                <w:i/>
              </w:rPr>
              <w:t xml:space="preserve">ound to nearest </w:t>
            </w:r>
            <w:r>
              <w:rPr>
                <w:rFonts w:ascii="Calibri" w:hAnsi="Calibri"/>
                <w:i/>
              </w:rPr>
              <w:t xml:space="preserve">pre-filled </w:t>
            </w:r>
            <w:r w:rsidRPr="0009289E">
              <w:rPr>
                <w:rFonts w:ascii="Calibri" w:hAnsi="Calibri"/>
                <w:i/>
              </w:rPr>
              <w:t>syringe:</w:t>
            </w:r>
          </w:p>
          <w:p w:rsidR="00F74C55" w:rsidRPr="0009289E" w:rsidRDefault="00F74C55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5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  <w:p w:rsidR="00F74C55" w:rsidRPr="0009289E" w:rsidRDefault="00F74C55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7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500units</w:t>
            </w:r>
          </w:p>
          <w:p w:rsidR="00F74C55" w:rsidRPr="0009289E" w:rsidRDefault="00F74C55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10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  <w:p w:rsidR="00F74C55" w:rsidRPr="0009289E" w:rsidRDefault="00F74C55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12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500units</w:t>
            </w:r>
          </w:p>
          <w:p w:rsidR="00F74C55" w:rsidRPr="0009289E" w:rsidRDefault="00F74C55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15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  <w:p w:rsidR="00F74C55" w:rsidRPr="00B54A35" w:rsidRDefault="00F74C55" w:rsidP="00636FC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18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</w:tc>
        <w:tc>
          <w:tcPr>
            <w:tcW w:w="5529" w:type="dxa"/>
          </w:tcPr>
          <w:p w:rsidR="00F74C55" w:rsidRPr="00636FCE" w:rsidRDefault="00F74C55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After 3</w:t>
            </w:r>
            <w:r w:rsidRPr="00636FCE">
              <w:rPr>
                <w:rFonts w:ascii="Calibri" w:hAnsi="Calibri"/>
                <w:vertAlign w:val="superscript"/>
              </w:rPr>
              <w:t>rd</w:t>
            </w:r>
            <w:r w:rsidRPr="00636FCE">
              <w:rPr>
                <w:rFonts w:ascii="Calibri" w:hAnsi="Calibri"/>
              </w:rPr>
              <w:t xml:space="preserve"> dose</w:t>
            </w:r>
          </w:p>
          <w:p w:rsidR="00F74C55" w:rsidRPr="00636FCE" w:rsidRDefault="00F74C55" w:rsidP="00636FCE">
            <w:pPr>
              <w:rPr>
                <w:rFonts w:ascii="Calibri" w:hAnsi="Calibri"/>
              </w:rPr>
            </w:pPr>
          </w:p>
          <w:p w:rsidR="00F74C55" w:rsidRPr="00636FCE" w:rsidRDefault="00F74C55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 xml:space="preserve">This must be </w:t>
            </w:r>
            <w:r>
              <w:rPr>
                <w:rFonts w:ascii="Calibri" w:hAnsi="Calibri"/>
              </w:rPr>
              <w:t>taken</w:t>
            </w:r>
            <w:r w:rsidRPr="00636FCE">
              <w:rPr>
                <w:rFonts w:ascii="Calibri" w:hAnsi="Calibri"/>
              </w:rPr>
              <w:t xml:space="preserve"> 3-4 hours after dose administration to achieve an accurate peak level</w:t>
            </w:r>
          </w:p>
          <w:p w:rsidR="00F74C55" w:rsidRDefault="00F74C55" w:rsidP="00636FCE">
            <w:pPr>
              <w:rPr>
                <w:rFonts w:ascii="Calibri" w:hAnsi="Calibri"/>
              </w:rPr>
            </w:pPr>
          </w:p>
          <w:p w:rsidR="00F74C55" w:rsidRDefault="00F74C55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Target 0.5-1</w:t>
            </w:r>
            <w:r>
              <w:rPr>
                <w:rFonts w:ascii="Calibri" w:hAnsi="Calibri"/>
              </w:rPr>
              <w:t xml:space="preserve">.0 units/ml – discuss with </w:t>
            </w:r>
            <w:proofErr w:type="spellStart"/>
            <w:r>
              <w:rPr>
                <w:rFonts w:ascii="Calibri" w:hAnsi="Calibri"/>
              </w:rPr>
              <w:t>haematology</w:t>
            </w:r>
            <w:proofErr w:type="spellEnd"/>
            <w:r>
              <w:rPr>
                <w:rFonts w:ascii="Calibri" w:hAnsi="Calibri"/>
              </w:rPr>
              <w:t xml:space="preserve"> if </w:t>
            </w:r>
            <w:proofErr w:type="spellStart"/>
            <w:r>
              <w:rPr>
                <w:rFonts w:ascii="Calibri" w:hAnsi="Calibri"/>
              </w:rPr>
              <w:t>outwith</w:t>
            </w:r>
            <w:proofErr w:type="spellEnd"/>
            <w:r>
              <w:rPr>
                <w:rFonts w:ascii="Calibri" w:hAnsi="Calibri"/>
              </w:rPr>
              <w:t xml:space="preserve"> this range</w:t>
            </w:r>
          </w:p>
          <w:p w:rsidR="00F74C55" w:rsidRDefault="00F74C55" w:rsidP="00636FCE">
            <w:pPr>
              <w:rPr>
                <w:rFonts w:ascii="Calibri" w:hAnsi="Calibri"/>
              </w:rPr>
            </w:pPr>
          </w:p>
          <w:p w:rsidR="00F74C55" w:rsidRPr="00636FCE" w:rsidRDefault="00A40E65" w:rsidP="00636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Repeat at</w:t>
            </w:r>
            <w:r w:rsidR="00F74C55">
              <w:rPr>
                <w:rFonts w:ascii="Calibri" w:hAnsi="Calibri"/>
              </w:rPr>
              <w:t xml:space="preserve"> day </w:t>
            </w:r>
            <w:r>
              <w:rPr>
                <w:rFonts w:ascii="Calibri" w:hAnsi="Calibri"/>
              </w:rPr>
              <w:t xml:space="preserve">7 – </w:t>
            </w:r>
            <w:r w:rsidR="00F74C55">
              <w:rPr>
                <w:rFonts w:ascii="Calibri" w:hAnsi="Calibri"/>
              </w:rPr>
              <w:t>10 if treatment still ongoing</w:t>
            </w:r>
          </w:p>
        </w:tc>
        <w:bookmarkStart w:id="0" w:name="_GoBack"/>
        <w:bookmarkEnd w:id="0"/>
      </w:tr>
    </w:tbl>
    <w:p w:rsidR="00165EA4" w:rsidRDefault="00165EA4" w:rsidP="00636FCE">
      <w:pPr>
        <w:rPr>
          <w:rFonts w:ascii="Calibri" w:hAnsi="Calibri"/>
          <w:b/>
          <w:sz w:val="28"/>
          <w:szCs w:val="28"/>
        </w:rPr>
      </w:pPr>
    </w:p>
    <w:p w:rsidR="00F74C55" w:rsidRDefault="00F74C55" w:rsidP="00636FCE">
      <w:pPr>
        <w:rPr>
          <w:rFonts w:ascii="Calibri" w:hAnsi="Calibri"/>
          <w:b/>
          <w:sz w:val="28"/>
          <w:szCs w:val="28"/>
        </w:rPr>
      </w:pPr>
    </w:p>
    <w:p w:rsidR="0009289E" w:rsidRDefault="0009289E" w:rsidP="00636FCE">
      <w:pPr>
        <w:rPr>
          <w:rFonts w:ascii="Calibri" w:hAnsi="Calibri"/>
        </w:rPr>
      </w:pPr>
      <w:r w:rsidRPr="0009289E">
        <w:rPr>
          <w:rFonts w:ascii="Calibri" w:hAnsi="Calibri"/>
          <w:b/>
          <w:sz w:val="28"/>
          <w:szCs w:val="28"/>
        </w:rPr>
        <w:t>High Thrombosis Risk</w:t>
      </w:r>
    </w:p>
    <w:p w:rsidR="00636FCE" w:rsidRDefault="004B6999" w:rsidP="00636FCE">
      <w:pPr>
        <w:rPr>
          <w:rFonts w:ascii="Calibri" w:hAnsi="Calibri"/>
        </w:rPr>
      </w:pPr>
      <w:r>
        <w:rPr>
          <w:rFonts w:ascii="Calibri" w:hAnsi="Calibri"/>
        </w:rPr>
        <w:t>Examples of high-risk conditions are</w:t>
      </w:r>
      <w:r w:rsidR="00636FCE">
        <w:rPr>
          <w:rFonts w:ascii="Calibri" w:hAnsi="Calibri"/>
        </w:rPr>
        <w:t>:</w:t>
      </w:r>
    </w:p>
    <w:p w:rsidR="00636FCE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>
        <w:rPr>
          <w:rFonts w:ascii="Calibri" w:hAnsi="Calibri"/>
        </w:rPr>
        <w:t>an</w:t>
      </w:r>
      <w:r w:rsidR="00636FCE">
        <w:rPr>
          <w:rFonts w:ascii="Calibri" w:hAnsi="Calibri"/>
        </w:rPr>
        <w:t>ti-</w:t>
      </w:r>
      <w:proofErr w:type="spellStart"/>
      <w:r w:rsidR="00636FCE">
        <w:rPr>
          <w:rFonts w:ascii="Calibri" w:hAnsi="Calibri"/>
        </w:rPr>
        <w:t>phospholipid</w:t>
      </w:r>
      <w:proofErr w:type="spellEnd"/>
      <w:r w:rsidR="00636FCE">
        <w:rPr>
          <w:rFonts w:ascii="Calibri" w:hAnsi="Calibri"/>
        </w:rPr>
        <w:t xml:space="preserve"> syndrome</w:t>
      </w:r>
    </w:p>
    <w:p w:rsidR="00DB1481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>
        <w:rPr>
          <w:rFonts w:ascii="Calibri" w:hAnsi="Calibri"/>
        </w:rPr>
        <w:t>a</w:t>
      </w:r>
      <w:r w:rsidR="00DB1481">
        <w:rPr>
          <w:rFonts w:ascii="Calibri" w:hAnsi="Calibri"/>
        </w:rPr>
        <w:t>nti</w:t>
      </w:r>
      <w:r w:rsidR="00DE6180">
        <w:rPr>
          <w:rFonts w:ascii="Calibri" w:hAnsi="Calibri"/>
        </w:rPr>
        <w:t>-</w:t>
      </w:r>
      <w:r w:rsidR="00DB1481">
        <w:rPr>
          <w:rFonts w:ascii="Calibri" w:hAnsi="Calibri"/>
        </w:rPr>
        <w:t>thrombin deficiency</w:t>
      </w:r>
    </w:p>
    <w:p w:rsidR="00636FCE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>
        <w:rPr>
          <w:rFonts w:ascii="Calibri" w:hAnsi="Calibri"/>
        </w:rPr>
        <w:t>p</w:t>
      </w:r>
      <w:r w:rsidR="00636FCE">
        <w:rPr>
          <w:rFonts w:ascii="Calibri" w:hAnsi="Calibri"/>
        </w:rPr>
        <w:t>rotein C/S deficiency</w:t>
      </w:r>
    </w:p>
    <w:p w:rsidR="004B6999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>
        <w:rPr>
          <w:rFonts w:ascii="Calibri" w:hAnsi="Calibri"/>
        </w:rPr>
        <w:t>m</w:t>
      </w:r>
      <w:r w:rsidR="004B6999">
        <w:rPr>
          <w:rFonts w:ascii="Calibri" w:hAnsi="Calibri"/>
        </w:rPr>
        <w:t>etallic heart valve (mitral and aortic)</w:t>
      </w:r>
    </w:p>
    <w:p w:rsidR="006C31BF" w:rsidRDefault="006C31BF" w:rsidP="006C31BF">
      <w:pPr>
        <w:pStyle w:val="ListParagraph"/>
        <w:ind w:left="1080"/>
        <w:rPr>
          <w:rFonts w:ascii="Calibri" w:hAnsi="Calibri"/>
        </w:rPr>
      </w:pPr>
    </w:p>
    <w:p w:rsidR="00497BFC" w:rsidRDefault="00E83B84" w:rsidP="004B6999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All cases should be discussed with </w:t>
      </w:r>
      <w:proofErr w:type="spellStart"/>
      <w:r>
        <w:rPr>
          <w:rFonts w:ascii="Calibri" w:hAnsi="Calibri"/>
        </w:rPr>
        <w:t>haematology</w:t>
      </w:r>
      <w:proofErr w:type="spellEnd"/>
      <w:r>
        <w:rPr>
          <w:rFonts w:ascii="Calibri" w:hAnsi="Calibri"/>
        </w:rPr>
        <w:t xml:space="preserve">.  Options will include continuous UFH, twice-daily LWMH and using </w:t>
      </w:r>
      <w:proofErr w:type="spellStart"/>
      <w:r>
        <w:rPr>
          <w:rFonts w:ascii="Calibri" w:hAnsi="Calibri"/>
        </w:rPr>
        <w:t>tinzaparin</w:t>
      </w:r>
      <w:proofErr w:type="spellEnd"/>
      <w:r>
        <w:rPr>
          <w:rFonts w:ascii="Calibri" w:hAnsi="Calibri"/>
        </w:rPr>
        <w:t xml:space="preserve"> in preference to </w:t>
      </w:r>
      <w:proofErr w:type="spellStart"/>
      <w:r>
        <w:rPr>
          <w:rFonts w:ascii="Calibri" w:hAnsi="Calibri"/>
        </w:rPr>
        <w:t>d</w:t>
      </w:r>
      <w:r w:rsidR="004B6999">
        <w:rPr>
          <w:rFonts w:ascii="Calibri" w:hAnsi="Calibri"/>
        </w:rPr>
        <w:t>alteparin</w:t>
      </w:r>
      <w:proofErr w:type="spellEnd"/>
      <w:r w:rsidR="004B69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(as its excretion is less </w:t>
      </w:r>
      <w:r w:rsidR="004B6999">
        <w:rPr>
          <w:rFonts w:ascii="Calibri" w:hAnsi="Calibri"/>
        </w:rPr>
        <w:t>dependent on renal clearance</w:t>
      </w:r>
      <w:r>
        <w:rPr>
          <w:rFonts w:ascii="Calibri" w:hAnsi="Calibri"/>
        </w:rPr>
        <w:t>)</w:t>
      </w:r>
      <w:r w:rsidR="004B6999">
        <w:rPr>
          <w:rFonts w:ascii="Calibri" w:hAnsi="Calibri"/>
        </w:rPr>
        <w:t xml:space="preserve">. </w:t>
      </w:r>
    </w:p>
    <w:p w:rsidR="00497BFC" w:rsidRDefault="00497BFC" w:rsidP="004B6999">
      <w:pPr>
        <w:rPr>
          <w:rFonts w:ascii="Calibri" w:hAnsi="Calibri"/>
        </w:rPr>
      </w:pPr>
    </w:p>
    <w:p w:rsidR="00935CAD" w:rsidRDefault="00E83B84" w:rsidP="004B6999">
      <w:pPr>
        <w:rPr>
          <w:rFonts w:ascii="Calibri" w:hAnsi="Calibri"/>
        </w:rPr>
      </w:pPr>
      <w:r>
        <w:rPr>
          <w:rFonts w:ascii="Calibri" w:hAnsi="Calibri"/>
        </w:rPr>
        <w:t xml:space="preserve">If considering </w:t>
      </w:r>
      <w:proofErr w:type="spellStart"/>
      <w:r>
        <w:rPr>
          <w:rFonts w:ascii="Calibri" w:hAnsi="Calibri"/>
        </w:rPr>
        <w:t>tinzparain</w:t>
      </w:r>
      <w:proofErr w:type="spellEnd"/>
      <w:r>
        <w:rPr>
          <w:rFonts w:ascii="Calibri" w:hAnsi="Calibri"/>
        </w:rPr>
        <w:t xml:space="preserve">, </w:t>
      </w:r>
      <w:r w:rsidR="004B6999">
        <w:rPr>
          <w:rFonts w:ascii="Calibri" w:hAnsi="Calibri"/>
        </w:rPr>
        <w:t xml:space="preserve">note that syringes are graduated and may not be suitable for use for all patients, depending on their </w:t>
      </w:r>
      <w:r>
        <w:rPr>
          <w:rFonts w:ascii="Calibri" w:hAnsi="Calibri"/>
        </w:rPr>
        <w:t xml:space="preserve">dexterity and </w:t>
      </w:r>
      <w:r w:rsidR="004B6999">
        <w:rPr>
          <w:rFonts w:ascii="Calibri" w:hAnsi="Calibri"/>
        </w:rPr>
        <w:t xml:space="preserve">ability to </w:t>
      </w:r>
      <w:r w:rsidR="00F90970">
        <w:rPr>
          <w:rFonts w:ascii="Calibri" w:hAnsi="Calibri"/>
        </w:rPr>
        <w:t xml:space="preserve">measure and </w:t>
      </w:r>
      <w:r w:rsidR="004B6999">
        <w:rPr>
          <w:rFonts w:ascii="Calibri" w:hAnsi="Calibri"/>
        </w:rPr>
        <w:t>discard the excess volume to achieve the desired dose.</w:t>
      </w:r>
      <w:r w:rsidR="00724F57">
        <w:rPr>
          <w:rFonts w:ascii="Calibri" w:hAnsi="Calibri"/>
        </w:rPr>
        <w:t xml:space="preserve"> Clear instructions are available in the product leaflet.</w:t>
      </w:r>
      <w:r w:rsidR="00497BFC">
        <w:rPr>
          <w:rFonts w:ascii="Calibri" w:hAnsi="Calibri"/>
        </w:rPr>
        <w:t xml:space="preserve"> </w:t>
      </w:r>
    </w:p>
    <w:p w:rsidR="00E83B84" w:rsidRDefault="00E83B84" w:rsidP="004B6999">
      <w:pPr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969"/>
        <w:gridCol w:w="5529"/>
      </w:tblGrid>
      <w:tr w:rsidR="00E83B84" w:rsidRPr="0009289E" w:rsidTr="00E83B84">
        <w:tc>
          <w:tcPr>
            <w:tcW w:w="9498" w:type="dxa"/>
            <w:gridSpan w:val="2"/>
          </w:tcPr>
          <w:p w:rsidR="00E83B84" w:rsidRPr="0009289E" w:rsidRDefault="00E83B84" w:rsidP="00E83B84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Tinzaparin</w:t>
            </w:r>
            <w:proofErr w:type="spellEnd"/>
          </w:p>
        </w:tc>
      </w:tr>
      <w:tr w:rsidR="00E83B84" w:rsidRPr="00F74C55" w:rsidTr="00E83B84">
        <w:tc>
          <w:tcPr>
            <w:tcW w:w="3969" w:type="dxa"/>
          </w:tcPr>
          <w:p w:rsidR="00E83B84" w:rsidRPr="0009289E" w:rsidRDefault="00E83B84" w:rsidP="00E83B84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Dose calculation</w:t>
            </w:r>
          </w:p>
        </w:tc>
        <w:tc>
          <w:tcPr>
            <w:tcW w:w="5529" w:type="dxa"/>
          </w:tcPr>
          <w:p w:rsidR="00E83B84" w:rsidRPr="00F74C55" w:rsidRDefault="00E83B84" w:rsidP="00E83B84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 xml:space="preserve">Anti-factor </w:t>
            </w:r>
            <w:proofErr w:type="spellStart"/>
            <w:r w:rsidRPr="0009289E">
              <w:rPr>
                <w:rFonts w:ascii="Calibri" w:hAnsi="Calibri"/>
                <w:b/>
              </w:rPr>
              <w:t>Xa</w:t>
            </w:r>
            <w:proofErr w:type="spellEnd"/>
            <w:r w:rsidRPr="0009289E">
              <w:rPr>
                <w:rFonts w:ascii="Calibri" w:hAnsi="Calibri"/>
                <w:b/>
              </w:rPr>
              <w:t xml:space="preserve"> monitoring</w:t>
            </w:r>
          </w:p>
        </w:tc>
      </w:tr>
      <w:tr w:rsidR="00E83B84" w:rsidRPr="00636FCE" w:rsidTr="00E83B84">
        <w:tc>
          <w:tcPr>
            <w:tcW w:w="3969" w:type="dxa"/>
          </w:tcPr>
          <w:p w:rsidR="00E83B84" w:rsidRPr="00636FCE" w:rsidRDefault="00E83B84" w:rsidP="00E83B8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Tinzaparin</w:t>
            </w:r>
            <w:proofErr w:type="spellEnd"/>
            <w:r>
              <w:rPr>
                <w:rFonts w:ascii="Calibri" w:hAnsi="Calibri"/>
              </w:rPr>
              <w:t xml:space="preserve"> 175</w:t>
            </w:r>
            <w:r w:rsidRPr="00636FCE">
              <w:rPr>
                <w:rFonts w:ascii="Calibri" w:hAnsi="Calibri"/>
              </w:rPr>
              <w:t>units/kg</w:t>
            </w:r>
          </w:p>
          <w:p w:rsidR="00E83B84" w:rsidRPr="00636FCE" w:rsidRDefault="00E83B84" w:rsidP="00E83B84">
            <w:pPr>
              <w:rPr>
                <w:rFonts w:ascii="Calibri" w:hAnsi="Calibri"/>
              </w:rPr>
            </w:pPr>
          </w:p>
          <w:p w:rsidR="00E83B84" w:rsidRPr="0009289E" w:rsidRDefault="00E83B84" w:rsidP="00E83B8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</w:t>
            </w:r>
            <w:r w:rsidRPr="0009289E">
              <w:rPr>
                <w:rFonts w:ascii="Calibri" w:hAnsi="Calibri"/>
                <w:i/>
              </w:rPr>
              <w:t>ound to nearest 1000units.</w:t>
            </w:r>
            <w:r>
              <w:rPr>
                <w:rFonts w:ascii="Calibri" w:hAnsi="Calibri"/>
                <w:i/>
              </w:rPr>
              <w:t xml:space="preserve">  </w:t>
            </w:r>
            <w:r w:rsidRPr="0009289E">
              <w:rPr>
                <w:rFonts w:ascii="Calibri" w:hAnsi="Calibri"/>
                <w:i/>
                <w:u w:val="single"/>
              </w:rPr>
              <w:t>Graduated</w:t>
            </w:r>
            <w:r w:rsidRPr="0009289E">
              <w:rPr>
                <w:rFonts w:ascii="Calibri" w:hAnsi="Calibri"/>
                <w:i/>
              </w:rPr>
              <w:t xml:space="preserve"> syringes are available in the following strengths:</w:t>
            </w:r>
          </w:p>
          <w:p w:rsidR="00E83B84" w:rsidRPr="0009289E" w:rsidRDefault="00E83B84" w:rsidP="00E83B8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10,</w:t>
            </w:r>
            <w:r w:rsidRPr="0009289E">
              <w:rPr>
                <w:rFonts w:ascii="Calibri" w:hAnsi="Calibri"/>
                <w:i/>
              </w:rPr>
              <w:t>000units (red)</w:t>
            </w:r>
          </w:p>
          <w:p w:rsidR="00E83B84" w:rsidRPr="0009289E" w:rsidRDefault="00E83B84" w:rsidP="00E83B8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14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 (yellow)</w:t>
            </w:r>
          </w:p>
          <w:p w:rsidR="00E83B84" w:rsidRPr="00B54A35" w:rsidRDefault="00E83B84" w:rsidP="00E83B8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18</w:t>
            </w:r>
            <w:r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 (blue)</w:t>
            </w:r>
          </w:p>
        </w:tc>
        <w:tc>
          <w:tcPr>
            <w:tcW w:w="5529" w:type="dxa"/>
          </w:tcPr>
          <w:p w:rsidR="00E83B84" w:rsidRPr="00636FCE" w:rsidRDefault="00E83B84" w:rsidP="00E83B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for </w:t>
            </w:r>
            <w:proofErr w:type="spellStart"/>
            <w:r>
              <w:rPr>
                <w:rFonts w:ascii="Calibri" w:hAnsi="Calibri"/>
              </w:rPr>
              <w:t>dalteparin</w:t>
            </w:r>
            <w:proofErr w:type="spellEnd"/>
            <w:r>
              <w:rPr>
                <w:rFonts w:ascii="Calibri" w:hAnsi="Calibri"/>
              </w:rPr>
              <w:t xml:space="preserve"> (see above).  </w:t>
            </w:r>
          </w:p>
        </w:tc>
      </w:tr>
    </w:tbl>
    <w:p w:rsidR="00E83B84" w:rsidRDefault="00E83B84" w:rsidP="004B6999">
      <w:pPr>
        <w:rPr>
          <w:rFonts w:ascii="Calibri" w:hAnsi="Calibri"/>
        </w:rPr>
      </w:pPr>
    </w:p>
    <w:p w:rsidR="00F90970" w:rsidRDefault="00F90970" w:rsidP="004B6999">
      <w:pPr>
        <w:rPr>
          <w:rFonts w:ascii="Calibri" w:hAnsi="Calibri"/>
          <w:b/>
          <w:sz w:val="28"/>
          <w:szCs w:val="28"/>
        </w:rPr>
      </w:pPr>
    </w:p>
    <w:p w:rsidR="006C31BF" w:rsidRPr="006C31BF" w:rsidRDefault="007502A6" w:rsidP="004B699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</w:t>
      </w:r>
      <w:r w:rsidR="006C31BF" w:rsidRPr="006C31BF">
        <w:rPr>
          <w:rFonts w:ascii="Calibri" w:hAnsi="Calibri"/>
          <w:b/>
          <w:sz w:val="28"/>
          <w:szCs w:val="28"/>
        </w:rPr>
        <w:t>leeding Risk</w:t>
      </w:r>
    </w:p>
    <w:p w:rsidR="006C31BF" w:rsidRDefault="00E83B84" w:rsidP="004B6999">
      <w:pPr>
        <w:rPr>
          <w:rFonts w:ascii="Calibri" w:hAnsi="Calibri"/>
        </w:rPr>
      </w:pPr>
      <w:r>
        <w:rPr>
          <w:rFonts w:ascii="Calibri" w:hAnsi="Calibri"/>
        </w:rPr>
        <w:t>Examples of anti-coagulation in individuals with high risk of bleeding include:</w:t>
      </w:r>
    </w:p>
    <w:p w:rsidR="004B6999" w:rsidRPr="004B6999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>
        <w:rPr>
          <w:rFonts w:ascii="Calibri" w:hAnsi="Calibri"/>
        </w:rPr>
        <w:t>p</w:t>
      </w:r>
      <w:r w:rsidR="004B6999" w:rsidRPr="004B6999">
        <w:rPr>
          <w:rFonts w:ascii="Calibri" w:hAnsi="Calibri"/>
        </w:rPr>
        <w:t>ost-biopsy</w:t>
      </w:r>
    </w:p>
    <w:p w:rsidR="00E83B84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 w:rsidRPr="00E83B84">
        <w:rPr>
          <w:rFonts w:ascii="Calibri" w:hAnsi="Calibri"/>
        </w:rPr>
        <w:t>p</w:t>
      </w:r>
      <w:r w:rsidR="004B6999" w:rsidRPr="00E83B84">
        <w:rPr>
          <w:rFonts w:ascii="Calibri" w:hAnsi="Calibri"/>
        </w:rPr>
        <w:t>ost-surg</w:t>
      </w:r>
      <w:r w:rsidR="00527486" w:rsidRPr="00E83B84">
        <w:rPr>
          <w:rFonts w:ascii="Calibri" w:hAnsi="Calibri"/>
        </w:rPr>
        <w:t>ery</w:t>
      </w:r>
      <w:r w:rsidR="004B6999" w:rsidRPr="00E83B84">
        <w:rPr>
          <w:rFonts w:ascii="Calibri" w:hAnsi="Calibri"/>
        </w:rPr>
        <w:t xml:space="preserve"> </w:t>
      </w:r>
      <w:r w:rsidR="00527486" w:rsidRPr="00E83B84">
        <w:rPr>
          <w:rFonts w:ascii="Calibri" w:hAnsi="Calibri"/>
        </w:rPr>
        <w:t>or invasive procedure</w:t>
      </w:r>
    </w:p>
    <w:p w:rsidR="008459D3" w:rsidRDefault="00E83B84" w:rsidP="00E83B84">
      <w:pPr>
        <w:pStyle w:val="ListParagraph"/>
        <w:numPr>
          <w:ilvl w:val="0"/>
          <w:numId w:val="7"/>
        </w:numPr>
        <w:ind w:hanging="436"/>
        <w:rPr>
          <w:rFonts w:ascii="Calibri" w:hAnsi="Calibri"/>
        </w:rPr>
      </w:pPr>
      <w:r>
        <w:rPr>
          <w:rFonts w:ascii="Calibri" w:hAnsi="Calibri"/>
        </w:rPr>
        <w:t>r</w:t>
      </w:r>
      <w:r w:rsidR="004B6999" w:rsidRPr="00E83B84">
        <w:rPr>
          <w:rFonts w:ascii="Calibri" w:hAnsi="Calibri"/>
        </w:rPr>
        <w:t>ecent hemorrhagic event</w:t>
      </w:r>
    </w:p>
    <w:p w:rsidR="00E83B84" w:rsidRDefault="00E83B84" w:rsidP="00E83B84">
      <w:pPr>
        <w:rPr>
          <w:rFonts w:ascii="Calibri" w:hAnsi="Calibri"/>
        </w:rPr>
      </w:pPr>
    </w:p>
    <w:p w:rsidR="00E83B84" w:rsidRPr="00E83B84" w:rsidRDefault="00E83B84" w:rsidP="00E83B84">
      <w:pPr>
        <w:rPr>
          <w:rFonts w:ascii="Calibri" w:hAnsi="Calibri"/>
        </w:rPr>
      </w:pPr>
      <w:r>
        <w:rPr>
          <w:rFonts w:ascii="Calibri" w:hAnsi="Calibri"/>
        </w:rPr>
        <w:t xml:space="preserve">All cases should be discussed with </w:t>
      </w:r>
      <w:proofErr w:type="spellStart"/>
      <w:r>
        <w:rPr>
          <w:rFonts w:ascii="Calibri" w:hAnsi="Calibri"/>
        </w:rPr>
        <w:t>haematology</w:t>
      </w:r>
      <w:proofErr w:type="spellEnd"/>
      <w:r>
        <w:rPr>
          <w:rFonts w:ascii="Calibri" w:hAnsi="Calibri"/>
        </w:rPr>
        <w:t xml:space="preserve">.  </w:t>
      </w:r>
    </w:p>
    <w:p w:rsidR="00F90970" w:rsidRDefault="00F90970" w:rsidP="00935CAD">
      <w:pPr>
        <w:rPr>
          <w:rFonts w:ascii="Calibri" w:hAnsi="Calibri"/>
        </w:rPr>
      </w:pPr>
    </w:p>
    <w:p w:rsidR="00E83B84" w:rsidRDefault="00E83B84" w:rsidP="00935CAD">
      <w:pPr>
        <w:rPr>
          <w:rFonts w:ascii="Calibri" w:hAnsi="Calibri"/>
        </w:rPr>
      </w:pPr>
    </w:p>
    <w:p w:rsidR="0004372B" w:rsidRPr="0004372B" w:rsidRDefault="00DF572F" w:rsidP="00935CA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Switching From UFH Infusion </w:t>
      </w:r>
      <w:proofErr w:type="gramStart"/>
      <w:r>
        <w:rPr>
          <w:rFonts w:ascii="Calibri" w:hAnsi="Calibri"/>
          <w:b/>
          <w:sz w:val="28"/>
          <w:szCs w:val="28"/>
        </w:rPr>
        <w:t>T</w:t>
      </w:r>
      <w:r w:rsidR="00F96F69" w:rsidRPr="00F96F69">
        <w:rPr>
          <w:rFonts w:ascii="Calibri" w:hAnsi="Calibri"/>
          <w:b/>
          <w:sz w:val="28"/>
          <w:szCs w:val="28"/>
        </w:rPr>
        <w:t>o</w:t>
      </w:r>
      <w:proofErr w:type="gramEnd"/>
      <w:r w:rsidR="00F96F69" w:rsidRPr="00F96F69">
        <w:rPr>
          <w:rFonts w:ascii="Calibri" w:hAnsi="Calibri"/>
          <w:b/>
          <w:sz w:val="28"/>
          <w:szCs w:val="28"/>
        </w:rPr>
        <w:t xml:space="preserve"> LMWH</w:t>
      </w:r>
    </w:p>
    <w:p w:rsidR="00E83B84" w:rsidRPr="00DF572F" w:rsidRDefault="0004372B" w:rsidP="00935CAD">
      <w:pPr>
        <w:rPr>
          <w:rFonts w:ascii="Calibri" w:hAnsi="Calibri"/>
        </w:rPr>
      </w:pPr>
      <w:r>
        <w:rPr>
          <w:rFonts w:ascii="Calibri" w:hAnsi="Calibri"/>
        </w:rPr>
        <w:t>In most cases, the desired dose of LMWH should be given at the same time the UFH infusion is stopped to allow for cross-over of both agents. There may be selected cases where this may d</w:t>
      </w:r>
      <w:r w:rsidR="00527486">
        <w:rPr>
          <w:rFonts w:ascii="Calibri" w:hAnsi="Calibri"/>
        </w:rPr>
        <w:t>iffer</w:t>
      </w:r>
      <w:r w:rsidR="00DF572F">
        <w:rPr>
          <w:rFonts w:ascii="Calibri" w:hAnsi="Calibri"/>
        </w:rPr>
        <w:t xml:space="preserve">, so please seek specialist advice.  </w:t>
      </w:r>
    </w:p>
    <w:sectPr w:rsidR="00E83B84" w:rsidRPr="00DF572F" w:rsidSect="00833783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84" w:rsidRDefault="00E83B84" w:rsidP="00474E43">
      <w:r>
        <w:separator/>
      </w:r>
    </w:p>
  </w:endnote>
  <w:endnote w:type="continuationSeparator" w:id="0">
    <w:p w:rsidR="00E83B84" w:rsidRDefault="00E83B84" w:rsidP="0047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84" w:rsidRPr="003141D2" w:rsidRDefault="00151284" w:rsidP="00151284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 w:rsidRPr="00474E43">
      <w:rPr>
        <w:rFonts w:ascii="Calibri" w:hAnsi="Calibri"/>
        <w:i/>
        <w:sz w:val="20"/>
        <w:szCs w:val="20"/>
      </w:rPr>
      <w:t xml:space="preserve">Jin </w:t>
    </w:r>
    <w:r>
      <w:rPr>
        <w:rFonts w:ascii="Calibri" w:hAnsi="Calibri"/>
        <w:i/>
        <w:sz w:val="20"/>
        <w:szCs w:val="20"/>
      </w:rPr>
      <w:t xml:space="preserve">Hah, Clinical Pharmacist; Ryan Rodgers, </w:t>
    </w:r>
    <w:proofErr w:type="spellStart"/>
    <w:r>
      <w:rPr>
        <w:rFonts w:ascii="Calibri" w:hAnsi="Calibri"/>
        <w:i/>
        <w:sz w:val="20"/>
        <w:szCs w:val="20"/>
      </w:rPr>
      <w:t>Haematologist</w:t>
    </w:r>
    <w:proofErr w:type="spellEnd"/>
    <w:r>
      <w:rPr>
        <w:rFonts w:ascii="Calibri" w:hAnsi="Calibri"/>
        <w:i/>
        <w:sz w:val="20"/>
        <w:szCs w:val="20"/>
      </w:rPr>
      <w:t xml:space="preserve">; John </w:t>
    </w:r>
    <w:proofErr w:type="spellStart"/>
    <w:r>
      <w:rPr>
        <w:rFonts w:ascii="Calibri" w:hAnsi="Calibri"/>
        <w:i/>
        <w:sz w:val="20"/>
        <w:szCs w:val="20"/>
      </w:rPr>
      <w:t>Neary</w:t>
    </w:r>
    <w:proofErr w:type="spellEnd"/>
    <w:r>
      <w:rPr>
        <w:rFonts w:ascii="Calibri" w:hAnsi="Calibri"/>
        <w:i/>
        <w:sz w:val="20"/>
        <w:szCs w:val="20"/>
      </w:rPr>
      <w:t xml:space="preserve">, </w:t>
    </w:r>
    <w:proofErr w:type="spellStart"/>
    <w:r>
      <w:rPr>
        <w:rFonts w:ascii="Calibri" w:hAnsi="Calibri"/>
        <w:i/>
        <w:sz w:val="20"/>
        <w:szCs w:val="20"/>
      </w:rPr>
      <w:t>Nephrologist</w:t>
    </w:r>
    <w:proofErr w:type="spellEnd"/>
  </w:p>
  <w:p w:rsidR="00151284" w:rsidRPr="003141D2" w:rsidRDefault="00151284" w:rsidP="00151284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Maggie Davidson, Renal Pharmacist; Robert Hunter, </w:t>
    </w:r>
    <w:proofErr w:type="spellStart"/>
    <w:r>
      <w:rPr>
        <w:rFonts w:ascii="Calibri" w:hAnsi="Calibri"/>
        <w:i/>
        <w:sz w:val="20"/>
        <w:szCs w:val="20"/>
      </w:rPr>
      <w:t>Nephrologist</w:t>
    </w:r>
    <w:proofErr w:type="spellEnd"/>
  </w:p>
  <w:p w:rsidR="00151284" w:rsidRPr="003141D2" w:rsidRDefault="00151284" w:rsidP="00151284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Oct 2018; </w:t>
    </w:r>
    <w:r w:rsidRPr="00151284">
      <w:rPr>
        <w:rFonts w:ascii="Calibri" w:hAnsi="Calibri"/>
        <w:b/>
        <w:i/>
        <w:sz w:val="20"/>
        <w:szCs w:val="20"/>
      </w:rPr>
      <w:t xml:space="preserve">reviewed </w:t>
    </w:r>
    <w:r>
      <w:rPr>
        <w:rFonts w:ascii="Calibri" w:hAnsi="Calibri"/>
        <w:i/>
        <w:sz w:val="20"/>
        <w:szCs w:val="20"/>
      </w:rPr>
      <w:t>Dec 2022</w:t>
    </w:r>
  </w:p>
  <w:p w:rsidR="00151284" w:rsidRDefault="00151284" w:rsidP="00151284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Dec 2025</w:t>
    </w:r>
  </w:p>
  <w:p w:rsidR="00151284" w:rsidRDefault="00151284" w:rsidP="00151284">
    <w:pPr>
      <w:pStyle w:val="Footer"/>
      <w:jc w:val="right"/>
      <w:rPr>
        <w:rFonts w:ascii="Calibri" w:hAnsi="Calibri"/>
        <w:i/>
        <w:sz w:val="16"/>
        <w:szCs w:val="20"/>
      </w:rPr>
    </w:pPr>
  </w:p>
  <w:p w:rsidR="00151284" w:rsidRPr="0090740F" w:rsidRDefault="00151284" w:rsidP="00151284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 w:rsidRPr="0090740F">
      <w:rPr>
        <w:rFonts w:ascii="Calibri" w:hAnsi="Calibri"/>
        <w:b/>
        <w:i/>
        <w:sz w:val="20"/>
        <w:szCs w:val="20"/>
      </w:rPr>
      <w:t>page</w:t>
    </w:r>
    <w:proofErr w:type="gramEnd"/>
    <w:r w:rsidRPr="0090740F">
      <w:rPr>
        <w:rFonts w:ascii="Calibri" w:hAnsi="Calibri"/>
        <w:b/>
        <w:i/>
        <w:sz w:val="20"/>
        <w:szCs w:val="20"/>
      </w:rPr>
      <w:t xml:space="preserve"> </w:t>
    </w:r>
    <w:r w:rsidR="00F6764D"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="00F6764D" w:rsidRPr="0090740F">
      <w:rPr>
        <w:rFonts w:ascii="Calibri" w:hAnsi="Calibri"/>
        <w:b/>
        <w:i/>
        <w:sz w:val="20"/>
        <w:szCs w:val="20"/>
      </w:rPr>
      <w:fldChar w:fldCharType="separate"/>
    </w:r>
    <w:r w:rsidR="00A40E65">
      <w:rPr>
        <w:rFonts w:ascii="Calibri" w:hAnsi="Calibri"/>
        <w:b/>
        <w:i/>
        <w:noProof/>
        <w:sz w:val="20"/>
        <w:szCs w:val="20"/>
      </w:rPr>
      <w:t>1</w:t>
    </w:r>
    <w:r w:rsidR="00F6764D"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A40E65" w:rsidRPr="00A40E65">
        <w:rPr>
          <w:rFonts w:ascii="Calibri" w:hAnsi="Calibri"/>
          <w:b/>
          <w:i/>
          <w:noProof/>
          <w:sz w:val="20"/>
          <w:szCs w:val="20"/>
        </w:rPr>
        <w:t>2</w:t>
      </w:r>
    </w:fldSimple>
  </w:p>
  <w:p w:rsidR="00151284" w:rsidRPr="003141D2" w:rsidRDefault="00151284" w:rsidP="00151284">
    <w:pPr>
      <w:pStyle w:val="Footer"/>
      <w:jc w:val="right"/>
      <w:rPr>
        <w:rFonts w:ascii="Calibri" w:hAnsi="Calibri"/>
        <w:i/>
        <w:sz w:val="16"/>
        <w:szCs w:val="20"/>
      </w:rPr>
    </w:pPr>
  </w:p>
  <w:p w:rsidR="00E83B84" w:rsidRPr="00151284" w:rsidRDefault="00151284" w:rsidP="00151284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="00F6764D"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="00F6764D" w:rsidRPr="003141D2">
      <w:rPr>
        <w:rFonts w:ascii="Calibri" w:hAnsi="Calibri"/>
        <w:i/>
        <w:sz w:val="16"/>
        <w:szCs w:val="16"/>
      </w:rPr>
      <w:fldChar w:fldCharType="separate"/>
    </w:r>
    <w:r w:rsidR="00A40E65">
      <w:rPr>
        <w:rFonts w:ascii="Calibri" w:hAnsi="Calibri"/>
        <w:i/>
        <w:noProof/>
        <w:sz w:val="16"/>
        <w:szCs w:val="16"/>
      </w:rPr>
      <w:t>30 January 2023</w:t>
    </w:r>
    <w:r w:rsidR="00F6764D"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84" w:rsidRDefault="00E83B84" w:rsidP="00474E43">
      <w:r>
        <w:separator/>
      </w:r>
    </w:p>
  </w:footnote>
  <w:footnote w:type="continuationSeparator" w:id="0">
    <w:p w:rsidR="00E83B84" w:rsidRDefault="00E83B84" w:rsidP="0047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75D"/>
    <w:multiLevelType w:val="hybridMultilevel"/>
    <w:tmpl w:val="54C0A0DC"/>
    <w:lvl w:ilvl="0" w:tplc="9B2EB0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4BDE"/>
    <w:multiLevelType w:val="hybridMultilevel"/>
    <w:tmpl w:val="7910F32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1734E"/>
    <w:multiLevelType w:val="hybridMultilevel"/>
    <w:tmpl w:val="B436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3C41"/>
    <w:multiLevelType w:val="hybridMultilevel"/>
    <w:tmpl w:val="7844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775E1"/>
    <w:multiLevelType w:val="hybridMultilevel"/>
    <w:tmpl w:val="751E8284"/>
    <w:lvl w:ilvl="0" w:tplc="2D3A51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239E3"/>
    <w:multiLevelType w:val="hybridMultilevel"/>
    <w:tmpl w:val="07EA14D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14616"/>
    <w:multiLevelType w:val="hybridMultilevel"/>
    <w:tmpl w:val="4E72C376"/>
    <w:lvl w:ilvl="0" w:tplc="45622C7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2B"/>
    <w:rsid w:val="00010151"/>
    <w:rsid w:val="0004372B"/>
    <w:rsid w:val="00055BB6"/>
    <w:rsid w:val="00073900"/>
    <w:rsid w:val="0009289E"/>
    <w:rsid w:val="000946A1"/>
    <w:rsid w:val="000E3FCC"/>
    <w:rsid w:val="000E7E37"/>
    <w:rsid w:val="000F0092"/>
    <w:rsid w:val="00151284"/>
    <w:rsid w:val="00165EA4"/>
    <w:rsid w:val="0017132F"/>
    <w:rsid w:val="001821A3"/>
    <w:rsid w:val="00245300"/>
    <w:rsid w:val="00270E29"/>
    <w:rsid w:val="002B2C9C"/>
    <w:rsid w:val="002E61B3"/>
    <w:rsid w:val="003604A8"/>
    <w:rsid w:val="003913F3"/>
    <w:rsid w:val="003B434C"/>
    <w:rsid w:val="003D3B6A"/>
    <w:rsid w:val="00474E43"/>
    <w:rsid w:val="00497BFC"/>
    <w:rsid w:val="004B6999"/>
    <w:rsid w:val="005226E8"/>
    <w:rsid w:val="00527486"/>
    <w:rsid w:val="005F6B03"/>
    <w:rsid w:val="00632961"/>
    <w:rsid w:val="00636FCE"/>
    <w:rsid w:val="00643578"/>
    <w:rsid w:val="006C31BF"/>
    <w:rsid w:val="006C5AAD"/>
    <w:rsid w:val="00724F57"/>
    <w:rsid w:val="007502A6"/>
    <w:rsid w:val="007960FA"/>
    <w:rsid w:val="007A0A54"/>
    <w:rsid w:val="007D66BE"/>
    <w:rsid w:val="00833783"/>
    <w:rsid w:val="008459D3"/>
    <w:rsid w:val="00917184"/>
    <w:rsid w:val="00935CAD"/>
    <w:rsid w:val="00996A7E"/>
    <w:rsid w:val="009D0918"/>
    <w:rsid w:val="00A40E65"/>
    <w:rsid w:val="00B54A35"/>
    <w:rsid w:val="00BD165C"/>
    <w:rsid w:val="00BE3388"/>
    <w:rsid w:val="00C2188E"/>
    <w:rsid w:val="00CB28D6"/>
    <w:rsid w:val="00DB1481"/>
    <w:rsid w:val="00DE6180"/>
    <w:rsid w:val="00DF572F"/>
    <w:rsid w:val="00E113BA"/>
    <w:rsid w:val="00E83B84"/>
    <w:rsid w:val="00F01DF3"/>
    <w:rsid w:val="00F6764D"/>
    <w:rsid w:val="00F74C55"/>
    <w:rsid w:val="00F90970"/>
    <w:rsid w:val="00F96F69"/>
    <w:rsid w:val="00FA0CA9"/>
    <w:rsid w:val="00FD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FA"/>
    <w:pPr>
      <w:ind w:left="720"/>
      <w:contextualSpacing/>
    </w:pPr>
  </w:style>
  <w:style w:type="table" w:styleId="TableGrid">
    <w:name w:val="Table Grid"/>
    <w:basedOn w:val="TableNormal"/>
    <w:uiPriority w:val="59"/>
    <w:rsid w:val="0063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E43"/>
  </w:style>
  <w:style w:type="paragraph" w:styleId="Footer">
    <w:name w:val="footer"/>
    <w:basedOn w:val="Normal"/>
    <w:link w:val="FooterChar"/>
    <w:uiPriority w:val="99"/>
    <w:unhideWhenUsed/>
    <w:rsid w:val="00474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E43"/>
  </w:style>
  <w:style w:type="character" w:styleId="CommentReference">
    <w:name w:val="annotation reference"/>
    <w:basedOn w:val="DefaultParagraphFont"/>
    <w:uiPriority w:val="99"/>
    <w:semiHidden/>
    <w:unhideWhenUsed/>
    <w:rsid w:val="00DB1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81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DB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0651-8CF6-44D0-BCD6-6A9162D7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Hah</dc:creator>
  <cp:lastModifiedBy>robert.w.hunter</cp:lastModifiedBy>
  <cp:revision>6</cp:revision>
  <cp:lastPrinted>2018-11-05T16:10:00Z</cp:lastPrinted>
  <dcterms:created xsi:type="dcterms:W3CDTF">2019-05-17T08:33:00Z</dcterms:created>
  <dcterms:modified xsi:type="dcterms:W3CDTF">2023-01-30T13:29:00Z</dcterms:modified>
</cp:coreProperties>
</file>