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07"/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F044B" w14:paraId="043936B9" w14:textId="77777777" w:rsidTr="003141D2">
        <w:trPr>
          <w:trHeight w:val="993"/>
        </w:trPr>
        <w:tc>
          <w:tcPr>
            <w:tcW w:w="9747" w:type="dxa"/>
          </w:tcPr>
          <w:p w14:paraId="25D8D9FF" w14:textId="77777777" w:rsidR="005F044B" w:rsidRPr="004C3AAB" w:rsidRDefault="005F044B" w:rsidP="00F27F20">
            <w:pPr>
              <w:ind w:right="-433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4C3AAB">
              <w:rPr>
                <w:rFonts w:ascii="Calibri" w:hAnsi="Calibri" w:cs="Arial"/>
                <w:b/>
                <w:bCs/>
                <w:sz w:val="28"/>
                <w:szCs w:val="28"/>
              </w:rPr>
              <w:t>Royal Infirmary of Edinburgh</w:t>
            </w:r>
          </w:p>
          <w:p w14:paraId="7A615CFC" w14:textId="08EF7094" w:rsidR="00ED3645" w:rsidRPr="00972E28" w:rsidRDefault="00ED3645" w:rsidP="00F27F20">
            <w:pPr>
              <w:ind w:right="-433"/>
              <w:rPr>
                <w:rFonts w:ascii="Calibri" w:hAnsi="Calibri" w:cs="Arial"/>
                <w:sz w:val="28"/>
                <w:szCs w:val="28"/>
              </w:rPr>
            </w:pPr>
            <w:r w:rsidRPr="004C3AAB">
              <w:rPr>
                <w:rFonts w:ascii="Calibri" w:hAnsi="Calibri" w:cs="Arial"/>
                <w:b/>
                <w:bCs/>
                <w:sz w:val="28"/>
                <w:szCs w:val="28"/>
              </w:rPr>
              <w:t>Renal Directorate</w:t>
            </w:r>
            <w:r w:rsidR="004C3AAB" w:rsidRPr="004C3AAB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Guideline</w:t>
            </w:r>
          </w:p>
        </w:tc>
      </w:tr>
    </w:tbl>
    <w:p w14:paraId="21F4FE66" w14:textId="77777777" w:rsidR="003141D2" w:rsidRPr="003141D2" w:rsidRDefault="003141D2" w:rsidP="00F27F20">
      <w:pPr>
        <w:ind w:left="-142"/>
        <w:rPr>
          <w:rFonts w:ascii="Calibri" w:hAnsi="Calibri" w:cs="Arial"/>
          <w:b/>
          <w:sz w:val="16"/>
          <w:szCs w:val="16"/>
        </w:rPr>
      </w:pPr>
      <w:r w:rsidRPr="003141D2">
        <w:rPr>
          <w:rFonts w:ascii="Calibri" w:hAnsi="Calibri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 wp14:anchorId="4EF1A0E6" wp14:editId="26B66CAD">
            <wp:simplePos x="0" y="0"/>
            <wp:positionH relativeFrom="column">
              <wp:posOffset>5128260</wp:posOffset>
            </wp:positionH>
            <wp:positionV relativeFrom="paragraph">
              <wp:posOffset>-334010</wp:posOffset>
            </wp:positionV>
            <wp:extent cx="755650" cy="598805"/>
            <wp:effectExtent l="19050" t="0" r="6350" b="0"/>
            <wp:wrapTight wrapText="bothSides">
              <wp:wrapPolygon edited="0">
                <wp:start x="-545" y="0"/>
                <wp:lineTo x="-545" y="20615"/>
                <wp:lineTo x="21782" y="20615"/>
                <wp:lineTo x="21782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43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D04274" w14:textId="6A330335" w:rsidR="005F044B" w:rsidRDefault="0022729B" w:rsidP="00F27F20">
      <w:pPr>
        <w:ind w:left="-142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Drug name</w:t>
      </w:r>
      <w:r w:rsidR="0089251D">
        <w:rPr>
          <w:rFonts w:ascii="Calibri" w:hAnsi="Calibri" w:cs="Arial"/>
          <w:b/>
          <w:sz w:val="32"/>
          <w:szCs w:val="32"/>
        </w:rPr>
        <w:t>: Roxadustat</w:t>
      </w:r>
      <w:r w:rsidR="00B25844">
        <w:rPr>
          <w:rFonts w:ascii="Calibri" w:hAnsi="Calibri" w:cs="Arial"/>
          <w:b/>
          <w:sz w:val="32"/>
          <w:szCs w:val="32"/>
        </w:rPr>
        <w:t xml:space="preserve"> (</w:t>
      </w:r>
      <w:proofErr w:type="spellStart"/>
      <w:r w:rsidR="00B25844">
        <w:rPr>
          <w:rFonts w:ascii="Calibri" w:hAnsi="Calibri" w:cs="Arial"/>
          <w:b/>
          <w:sz w:val="32"/>
          <w:szCs w:val="32"/>
        </w:rPr>
        <w:t>Evrenzo</w:t>
      </w:r>
      <w:proofErr w:type="spellEnd"/>
      <w:r w:rsidR="00B25844">
        <w:rPr>
          <w:rFonts w:ascii="Calibri" w:hAnsi="Calibri" w:cs="Calibri"/>
          <w:b/>
          <w:sz w:val="32"/>
          <w:szCs w:val="32"/>
        </w:rPr>
        <w:t>®</w:t>
      </w:r>
      <w:r w:rsidR="00B25844">
        <w:rPr>
          <w:rFonts w:ascii="Calibri" w:hAnsi="Calibri" w:cs="Arial"/>
          <w:b/>
          <w:sz w:val="32"/>
          <w:szCs w:val="32"/>
        </w:rPr>
        <w:t>)</w:t>
      </w:r>
    </w:p>
    <w:p w14:paraId="26924D36" w14:textId="77777777" w:rsidR="00A04FB3" w:rsidRPr="00265B19" w:rsidRDefault="00A04FB3" w:rsidP="00972E28"/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83"/>
      </w:tblGrid>
      <w:tr w:rsidR="00753EE1" w:rsidRPr="00E12BDD" w14:paraId="3D0F2A01" w14:textId="77777777" w:rsidTr="00FF3183">
        <w:tc>
          <w:tcPr>
            <w:tcW w:w="2127" w:type="dxa"/>
          </w:tcPr>
          <w:p w14:paraId="55A8C7C3" w14:textId="3233D87E" w:rsidR="00753EE1" w:rsidRDefault="00753EE1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Indication</w:t>
            </w:r>
            <w:r>
              <w:rPr>
                <w:rFonts w:ascii="Calibri" w:hAnsi="Calibri" w:cs="Arial"/>
                <w:b/>
              </w:rPr>
              <w:t xml:space="preserve"> and additional Information</w:t>
            </w:r>
          </w:p>
          <w:p w14:paraId="4704780E" w14:textId="77777777" w:rsidR="00F27F20" w:rsidRPr="00823D6C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83" w:type="dxa"/>
          </w:tcPr>
          <w:p w14:paraId="207F1F0A" w14:textId="2BCF2302" w:rsidR="00FF3183" w:rsidRDefault="00B25844" w:rsidP="0022729B">
            <w:pPr>
              <w:pStyle w:val="BlockText"/>
              <w:ind w:left="0" w:right="62"/>
              <w:rPr>
                <w:rFonts w:ascii="Calibri" w:hAnsi="Calibri"/>
                <w:iCs/>
                <w:sz w:val="22"/>
                <w:szCs w:val="22"/>
              </w:rPr>
            </w:pPr>
            <w:r w:rsidRPr="00B25844">
              <w:rPr>
                <w:rFonts w:ascii="Calibri" w:hAnsi="Calibri"/>
                <w:iCs/>
                <w:sz w:val="22"/>
                <w:szCs w:val="22"/>
              </w:rPr>
              <w:t>Management of symptomatic anaemia in patients with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chronic renal failure</w:t>
            </w:r>
            <w:r w:rsidR="00123F9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5049F">
              <w:rPr>
                <w:rFonts w:ascii="Calibri" w:hAnsi="Calibri"/>
                <w:iCs/>
                <w:sz w:val="22"/>
                <w:szCs w:val="22"/>
              </w:rPr>
              <w:t>NOT</w:t>
            </w:r>
            <w:r w:rsidR="00123F9F">
              <w:rPr>
                <w:rFonts w:ascii="Calibri" w:hAnsi="Calibri"/>
                <w:iCs/>
                <w:sz w:val="22"/>
                <w:szCs w:val="22"/>
              </w:rPr>
              <w:t xml:space="preserve"> on haemodialysis. </w:t>
            </w:r>
          </w:p>
          <w:p w14:paraId="0B37F9E2" w14:textId="77777777" w:rsidR="00B25844" w:rsidRDefault="00B25844" w:rsidP="0022729B">
            <w:pPr>
              <w:pStyle w:val="BlockText"/>
              <w:ind w:left="0" w:right="62"/>
              <w:rPr>
                <w:rFonts w:ascii="Calibri" w:hAnsi="Calibri"/>
                <w:iCs/>
                <w:sz w:val="22"/>
                <w:szCs w:val="22"/>
              </w:rPr>
            </w:pPr>
          </w:p>
          <w:p w14:paraId="5B01DB1C" w14:textId="6AFEFE90" w:rsidR="00B25844" w:rsidRDefault="00B25844" w:rsidP="005F44ED">
            <w:pPr>
              <w:pStyle w:val="BlockText"/>
              <w:ind w:left="0" w:right="62"/>
              <w:rPr>
                <w:rFonts w:ascii="Calibri" w:hAnsi="Calibri"/>
                <w:iCs/>
                <w:sz w:val="22"/>
                <w:szCs w:val="22"/>
              </w:rPr>
            </w:pPr>
            <w:r w:rsidRPr="00B25844">
              <w:rPr>
                <w:rFonts w:ascii="Calibri" w:hAnsi="Calibri"/>
                <w:iCs/>
                <w:sz w:val="22"/>
                <w:szCs w:val="22"/>
              </w:rPr>
              <w:t>Anaemia in chronic kidney disease (CKD) is primarily due to erythropoietin deficiency. It is characterised by haemoglobin (Hb) level below 100g/L on 2 or more consecutive readings in a patient with known CKD.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B25844">
              <w:rPr>
                <w:rFonts w:ascii="Calibri" w:hAnsi="Calibri"/>
                <w:iCs/>
                <w:sz w:val="22"/>
                <w:szCs w:val="22"/>
              </w:rPr>
              <w:t>Roxadustat is a</w:t>
            </w:r>
            <w:r w:rsidR="00123F9F">
              <w:rPr>
                <w:rFonts w:ascii="Calibri" w:hAnsi="Calibri"/>
                <w:iCs/>
                <w:sz w:val="22"/>
                <w:szCs w:val="22"/>
              </w:rPr>
              <w:t>n oral</w:t>
            </w:r>
            <w:r w:rsidRPr="00B25844">
              <w:rPr>
                <w:rFonts w:ascii="Calibri" w:hAnsi="Calibri"/>
                <w:iCs/>
                <w:sz w:val="22"/>
                <w:szCs w:val="22"/>
              </w:rPr>
              <w:t xml:space="preserve"> hypoxia-inducible factor, prolyl hydroxylase inhibitor (HIF-PHI), which stimulates a coordinated erythropoietic response, thereby increasing haemoglobin production and improving iron bioavailability. It is the only drug for this indication </w:t>
            </w:r>
            <w:r w:rsidRPr="00B25844">
              <w:rPr>
                <w:rFonts w:ascii="Calibri" w:hAnsi="Calibri"/>
                <w:i/>
                <w:iCs/>
                <w:sz w:val="22"/>
                <w:szCs w:val="22"/>
              </w:rPr>
              <w:t>not</w:t>
            </w:r>
            <w:r w:rsidRPr="00B25844">
              <w:rPr>
                <w:rFonts w:ascii="Calibri" w:hAnsi="Calibri"/>
                <w:iCs/>
                <w:sz w:val="22"/>
                <w:szCs w:val="22"/>
              </w:rPr>
              <w:t xml:space="preserve"> given by injection.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B25844">
              <w:rPr>
                <w:rFonts w:ascii="Calibri" w:hAnsi="Calibri"/>
                <w:iCs/>
                <w:sz w:val="22"/>
                <w:szCs w:val="22"/>
              </w:rPr>
              <w:t>Other causes of anaemia</w:t>
            </w:r>
            <w:r w:rsidR="00200C52">
              <w:rPr>
                <w:rFonts w:ascii="Calibri" w:hAnsi="Calibri"/>
                <w:iCs/>
                <w:sz w:val="22"/>
                <w:szCs w:val="22"/>
              </w:rPr>
              <w:t xml:space="preserve"> (B12 &amp; folate)</w:t>
            </w:r>
            <w:r w:rsidRPr="00B25844">
              <w:rPr>
                <w:rFonts w:ascii="Calibri" w:hAnsi="Calibri"/>
                <w:iCs/>
                <w:sz w:val="22"/>
                <w:szCs w:val="22"/>
              </w:rPr>
              <w:t xml:space="preserve"> should be investigated and addressed prior to commencing roxadustat.</w:t>
            </w:r>
            <w:r w:rsidR="00C677EC" w:rsidRPr="00C677EC">
              <w:rPr>
                <w:rFonts w:ascii="Montserrat" w:hAnsi="Montserrat"/>
                <w:color w:val="161616"/>
                <w:sz w:val="21"/>
                <w:szCs w:val="21"/>
                <w:shd w:val="clear" w:color="auto" w:fill="FFFFFF"/>
              </w:rPr>
              <w:t xml:space="preserve"> </w:t>
            </w:r>
            <w:r w:rsidR="00C677EC" w:rsidRPr="00C677EC">
              <w:rPr>
                <w:rFonts w:ascii="Calibri" w:hAnsi="Calibri"/>
                <w:iCs/>
                <w:sz w:val="22"/>
                <w:szCs w:val="22"/>
              </w:rPr>
              <w:t>Adequate iron stores should be ensured prior to initiating treatment.</w:t>
            </w:r>
          </w:p>
          <w:p w14:paraId="117E805D" w14:textId="21808883" w:rsidR="005F44ED" w:rsidRPr="00BB5A19" w:rsidRDefault="005F44ED" w:rsidP="005F44ED">
            <w:pPr>
              <w:pStyle w:val="BlockText"/>
              <w:ind w:left="0" w:right="62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F044B" w:rsidRPr="00E12BDD" w14:paraId="374BC49C" w14:textId="77777777" w:rsidTr="00FF3183">
        <w:tc>
          <w:tcPr>
            <w:tcW w:w="2127" w:type="dxa"/>
          </w:tcPr>
          <w:p w14:paraId="567DEDA3" w14:textId="2B43F489" w:rsidR="00F27F20" w:rsidRPr="00823D6C" w:rsidRDefault="005F044B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7683" w:type="dxa"/>
          </w:tcPr>
          <w:p w14:paraId="52761CA3" w14:textId="6640A256" w:rsidR="008A7E77" w:rsidRDefault="008A7E77" w:rsidP="0022729B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R</w:t>
            </w:r>
            <w:r w:rsidRPr="008A7E7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ecommended </w:t>
            </w:r>
            <w:r w:rsidR="0065496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oral </w:t>
            </w:r>
            <w:r w:rsidRPr="008A7E7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starting</w:t>
            </w: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dose</w:t>
            </w:r>
            <w:r w:rsidR="0015049F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for patients NOT currently on dialysis</w:t>
            </w:r>
            <w:r w:rsidR="00AB3E01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or an </w:t>
            </w:r>
            <w:r w:rsidR="00AB3E01" w:rsidRPr="009C18F6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erythropoiesis-stimulating agent</w:t>
            </w:r>
            <w:r w:rsidR="00AB3E01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(ESA)</w:t>
            </w: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:</w:t>
            </w:r>
          </w:p>
          <w:p w14:paraId="69AC86CA" w14:textId="08C7A3F2" w:rsidR="008A7E77" w:rsidRDefault="008A7E77" w:rsidP="0022729B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8A7E7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70 mg three times per week in patients weighing less than 100kg</w:t>
            </w:r>
            <w:r w:rsidR="00AF6373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1FBFA97B" w14:textId="6DE9417E" w:rsidR="00BB5A19" w:rsidRDefault="008A7E77" w:rsidP="0022729B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8A7E7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100 mg three times per week in patients weighing 100kg and over</w:t>
            </w:r>
            <w:r w:rsidR="00AF6373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65743E5C" w14:textId="30CB9D4B" w:rsidR="008A7E77" w:rsidRDefault="00AF6373" w:rsidP="0022729B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Dose adjustments and monitoring see </w:t>
            </w:r>
            <w:r w:rsidR="00E47FF3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T</w:t>
            </w: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able </w:t>
            </w:r>
            <w:r w:rsidR="00200C5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1</w:t>
            </w:r>
            <w:r w:rsidR="00E47FF3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on page 3</w:t>
            </w: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46582EB3" w14:textId="77777777" w:rsidR="00575D4D" w:rsidRDefault="00575D4D" w:rsidP="0022729B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Dosing should be on non-consecutive days.</w:t>
            </w:r>
          </w:p>
          <w:p w14:paraId="24DCDDE8" w14:textId="32F95E88" w:rsidR="00001A59" w:rsidRDefault="00001A59" w:rsidP="00001A59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Maximum dose - </w:t>
            </w:r>
            <w:r w:rsidRPr="00001A59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3mg/kg body weight or 300mg three times a week</w:t>
            </w: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(</w:t>
            </w:r>
            <w:r w:rsidRPr="00001A59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whichever is lower</w:t>
            </w: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) in non-dialysis patients.</w:t>
            </w:r>
          </w:p>
          <w:p w14:paraId="23AC4766" w14:textId="1E00BFE3" w:rsidR="0086612A" w:rsidRPr="00001A59" w:rsidRDefault="0086612A" w:rsidP="00001A59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See </w:t>
            </w:r>
            <w:r w:rsidR="0070296B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Summary of Product Characteristics</w:t>
            </w: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(</w:t>
            </w:r>
            <w:r w:rsidR="0070296B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SmPC</w:t>
            </w:r>
            <w:r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) if converting from an </w:t>
            </w:r>
            <w:r w:rsidR="00AB3E01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ESA.</w:t>
            </w:r>
          </w:p>
          <w:p w14:paraId="38127629" w14:textId="4B8EF4F5" w:rsidR="00001A59" w:rsidRPr="00BB5A19" w:rsidRDefault="00001A59" w:rsidP="0022729B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</w:p>
        </w:tc>
      </w:tr>
      <w:tr w:rsidR="008A7E77" w:rsidRPr="00E12BDD" w14:paraId="24C843E3" w14:textId="77777777" w:rsidTr="00FF3183">
        <w:tc>
          <w:tcPr>
            <w:tcW w:w="2127" w:type="dxa"/>
          </w:tcPr>
          <w:p w14:paraId="04D3C8B0" w14:textId="1BFE1132" w:rsidR="008A7E77" w:rsidRPr="00823D6C" w:rsidRDefault="008A7E77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Contraindications</w:t>
            </w:r>
          </w:p>
        </w:tc>
        <w:tc>
          <w:tcPr>
            <w:tcW w:w="7683" w:type="dxa"/>
          </w:tcPr>
          <w:p w14:paraId="171D775A" w14:textId="17B187ED" w:rsidR="008A7E77" w:rsidRPr="00BB3A47" w:rsidRDefault="00AF6373" w:rsidP="00BB3A47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Allergies to peanuts or soya</w:t>
            </w:r>
            <w:r w:rsidR="00BB3A47"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1B2F4502" w14:textId="0FF479F3" w:rsidR="00AF6373" w:rsidRPr="00BB3A47" w:rsidRDefault="00AF6373" w:rsidP="00BB3A47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Lact</w:t>
            </w:r>
            <w:r w:rsidR="00883D9A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a</w:t>
            </w:r>
            <w:r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se deficiency/galactose intolerance</w:t>
            </w:r>
            <w:r w:rsidR="00200C5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/glucose-galactose malabsorption</w:t>
            </w:r>
            <w:r w:rsidR="00BB3A47"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72CF2C73" w14:textId="237BEFF9" w:rsidR="00AF6373" w:rsidRPr="00BB3A47" w:rsidRDefault="00AF6373" w:rsidP="00BB3A47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Pregnancy and breastfeeding</w:t>
            </w:r>
            <w:r w:rsidR="00BB3A47"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1A119AB0" w14:textId="306811B4" w:rsidR="001F48C3" w:rsidRPr="00BB3A47" w:rsidRDefault="001F48C3" w:rsidP="00BB3A47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Severe hepatic impairment (Child-Pugh class C)</w:t>
            </w:r>
            <w:r w:rsidR="00BB3A47"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4BC6CD8C" w14:textId="2F98F591" w:rsidR="00BB3A47" w:rsidRPr="00AF6373" w:rsidRDefault="00BB3A47" w:rsidP="00BB3A47">
            <w:pPr>
              <w:pStyle w:val="ListParagraph"/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</w:p>
        </w:tc>
      </w:tr>
      <w:tr w:rsidR="001501E5" w:rsidRPr="00E12BDD" w14:paraId="5A071381" w14:textId="77777777" w:rsidTr="00FF3183">
        <w:tc>
          <w:tcPr>
            <w:tcW w:w="2127" w:type="dxa"/>
          </w:tcPr>
          <w:p w14:paraId="51AD281F" w14:textId="1E57F167" w:rsidR="001501E5" w:rsidRDefault="001501E5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Precautions</w:t>
            </w:r>
          </w:p>
        </w:tc>
        <w:tc>
          <w:tcPr>
            <w:tcW w:w="7683" w:type="dxa"/>
          </w:tcPr>
          <w:p w14:paraId="144738CA" w14:textId="3DA9A12C" w:rsidR="001501E5" w:rsidRPr="00BB3A47" w:rsidRDefault="001501E5" w:rsidP="00BB3A47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History of seizures/epilepsy</w:t>
            </w:r>
            <w:r w:rsidR="00BB3A47"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23D4D6C2" w14:textId="6B447E2E" w:rsidR="001501E5" w:rsidRPr="00BB3A47" w:rsidRDefault="00001A59" w:rsidP="00BB3A47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Ensure reliable contraception in women of child-bearing age</w:t>
            </w:r>
            <w:r w:rsidR="00BB3A47" w:rsidRPr="00BB3A47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7D97100D" w14:textId="65077C9D" w:rsidR="001C3BFD" w:rsidRPr="00917D62" w:rsidRDefault="001F48C3" w:rsidP="00917D62">
            <w:pPr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  <w:r w:rsidRPr="00917D6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Moderate h</w:t>
            </w:r>
            <w:r w:rsidR="00001A59" w:rsidRPr="00917D6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epatic impairment </w:t>
            </w:r>
            <w:r w:rsidRPr="00917D6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(Child-Pugh class B) </w:t>
            </w:r>
            <w:r w:rsidR="00001A59" w:rsidRPr="00917D6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– reduce </w:t>
            </w:r>
            <w:r w:rsidR="005352B7" w:rsidRPr="00917D6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start</w:t>
            </w:r>
            <w:r w:rsidR="00BB3A47" w:rsidRPr="00917D6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ing</w:t>
            </w:r>
            <w:r w:rsidR="005352B7" w:rsidRPr="00917D6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 xml:space="preserve"> dose by half</w:t>
            </w:r>
            <w:r w:rsidR="00BB3A47" w:rsidRPr="00917D62"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  <w:t>.</w:t>
            </w:r>
          </w:p>
          <w:p w14:paraId="7AE90F90" w14:textId="2F62D521" w:rsidR="00BB3A47" w:rsidRPr="001C3BFD" w:rsidRDefault="00BB3A47" w:rsidP="00BB3A47">
            <w:pPr>
              <w:pStyle w:val="ListParagraph"/>
              <w:ind w:right="62"/>
              <w:rPr>
                <w:rFonts w:ascii="Calibri" w:eastAsiaTheme="minorEastAsia" w:hAnsi="Calibri" w:cs="SegoeUI"/>
                <w:color w:val="191919"/>
                <w:sz w:val="22"/>
                <w:szCs w:val="22"/>
              </w:rPr>
            </w:pPr>
          </w:p>
        </w:tc>
      </w:tr>
      <w:tr w:rsidR="00BC42D0" w:rsidRPr="00E12BDD" w14:paraId="5BE86EAA" w14:textId="77777777" w:rsidTr="00FF3183">
        <w:tc>
          <w:tcPr>
            <w:tcW w:w="2127" w:type="dxa"/>
          </w:tcPr>
          <w:p w14:paraId="661FA111" w14:textId="77777777" w:rsidR="00BC42D0" w:rsidRDefault="00D7277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Side Effects</w:t>
            </w:r>
          </w:p>
          <w:p w14:paraId="6672F512" w14:textId="77777777" w:rsidR="00F27F20" w:rsidRDefault="00F27F2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83" w:type="dxa"/>
          </w:tcPr>
          <w:p w14:paraId="3C428DAD" w14:textId="0653E57C" w:rsidR="007F2319" w:rsidRPr="00BB3A47" w:rsidRDefault="007F2319" w:rsidP="007F2319">
            <w:pPr>
              <w:pStyle w:val="BlockText"/>
              <w:ind w:left="0" w:right="6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3A47">
              <w:rPr>
                <w:rFonts w:ascii="Calibri" w:hAnsi="Calibri" w:cs="Arial"/>
                <w:b/>
                <w:bCs/>
                <w:sz w:val="22"/>
                <w:szCs w:val="22"/>
              </w:rPr>
              <w:t>Common</w:t>
            </w:r>
          </w:p>
          <w:p w14:paraId="1E3D23DE" w14:textId="274FC45A" w:rsidR="007F2319" w:rsidRDefault="007F2319" w:rsidP="00BB3A47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 w:rsidRPr="007F2319">
              <w:rPr>
                <w:rFonts w:ascii="Calibri" w:hAnsi="Calibri" w:cs="Arial"/>
                <w:sz w:val="22"/>
                <w:szCs w:val="22"/>
              </w:rPr>
              <w:t>Hypertension, thrombotic vascular events,</w:t>
            </w:r>
            <w:r w:rsidR="007E7775">
              <w:rPr>
                <w:rFonts w:ascii="Calibri" w:hAnsi="Calibri" w:cs="Arial"/>
                <w:sz w:val="22"/>
                <w:szCs w:val="22"/>
              </w:rPr>
              <w:t xml:space="preserve"> gastrointestinal disorders</w:t>
            </w:r>
            <w:r w:rsidRPr="007F2319">
              <w:rPr>
                <w:rFonts w:ascii="Calibri" w:hAnsi="Calibri" w:cs="Arial"/>
                <w:sz w:val="22"/>
                <w:szCs w:val="22"/>
              </w:rPr>
              <w:t xml:space="preserve">, peripheral oedema, </w:t>
            </w:r>
            <w:r>
              <w:rPr>
                <w:rFonts w:ascii="Calibri" w:hAnsi="Calibri" w:cs="Arial"/>
                <w:sz w:val="22"/>
                <w:szCs w:val="22"/>
              </w:rPr>
              <w:t>h</w:t>
            </w:r>
            <w:r w:rsidRPr="007F2319">
              <w:rPr>
                <w:rFonts w:ascii="Calibri" w:hAnsi="Calibri" w:cs="Arial"/>
                <w:sz w:val="22"/>
                <w:szCs w:val="22"/>
              </w:rPr>
              <w:t>yperkalaemia</w:t>
            </w:r>
            <w:r>
              <w:rPr>
                <w:rFonts w:ascii="Calibri" w:hAnsi="Calibri" w:cs="Arial"/>
                <w:sz w:val="22"/>
                <w:szCs w:val="22"/>
              </w:rPr>
              <w:t>, sepsis and seizures, headaches, insomnia</w:t>
            </w:r>
            <w:r w:rsidR="00BB3A47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B0CF325" w14:textId="5CA55303" w:rsidR="007F2319" w:rsidRPr="00BB3A47" w:rsidRDefault="007E7775" w:rsidP="007F2319">
            <w:pPr>
              <w:pStyle w:val="BlockText"/>
              <w:ind w:left="0" w:right="6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3A47">
              <w:rPr>
                <w:rFonts w:ascii="Calibri" w:hAnsi="Calibri" w:cs="Arial"/>
                <w:b/>
                <w:bCs/>
                <w:sz w:val="22"/>
                <w:szCs w:val="22"/>
              </w:rPr>
              <w:t>Uncommon/unknown</w:t>
            </w:r>
          </w:p>
          <w:p w14:paraId="0821D552" w14:textId="683404C7" w:rsidR="00AF521C" w:rsidRDefault="007E7775" w:rsidP="00AF521C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E7775">
              <w:rPr>
                <w:rFonts w:ascii="Calibri" w:hAnsi="Calibri" w:cs="Arial"/>
                <w:sz w:val="22"/>
                <w:szCs w:val="22"/>
              </w:rPr>
              <w:t>Hyperbilirubinaemia</w:t>
            </w:r>
            <w:proofErr w:type="spellEnd"/>
            <w:r w:rsidRPr="007E777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C677EC">
              <w:rPr>
                <w:rFonts w:ascii="Calibri" w:hAnsi="Calibri" w:cs="Arial"/>
                <w:sz w:val="22"/>
                <w:szCs w:val="22"/>
              </w:rPr>
              <w:t xml:space="preserve">secondary </w:t>
            </w:r>
            <w:r w:rsidRPr="007E7775">
              <w:rPr>
                <w:rFonts w:ascii="Calibri" w:hAnsi="Calibri" w:cs="Arial"/>
                <w:sz w:val="22"/>
                <w:szCs w:val="22"/>
              </w:rPr>
              <w:t xml:space="preserve">hypothyroidism,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7E7775">
              <w:rPr>
                <w:rFonts w:ascii="Calibri" w:hAnsi="Calibri" w:cs="Arial"/>
                <w:sz w:val="22"/>
                <w:szCs w:val="22"/>
              </w:rPr>
              <w:t>kin reactions</w:t>
            </w:r>
            <w:r w:rsidR="00BB3A47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DDF15EE" w14:textId="77777777" w:rsidR="00AF521C" w:rsidRPr="00AF521C" w:rsidRDefault="00AF521C" w:rsidP="00AF521C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  <w:p w14:paraId="567E1F5C" w14:textId="23E2C1AD" w:rsidR="00AF521C" w:rsidRDefault="00AF521C" w:rsidP="00AF521C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 w:rsidRPr="00AF521C">
              <w:rPr>
                <w:rFonts w:ascii="Calibri" w:hAnsi="Calibri" w:cs="Arial"/>
                <w:sz w:val="22"/>
                <w:szCs w:val="22"/>
              </w:rPr>
              <w:t>This medicinal product is subject to additional monitoring</w:t>
            </w:r>
            <w:r w:rsidR="00642074">
              <w:rPr>
                <w:rFonts w:ascii="Calibri" w:hAnsi="Calibri" w:cs="Arial"/>
                <w:sz w:val="22"/>
                <w:szCs w:val="22"/>
              </w:rPr>
              <w:t xml:space="preserve"> (black triangle)</w:t>
            </w:r>
            <w:r w:rsidRPr="00AF521C">
              <w:rPr>
                <w:rFonts w:ascii="Calibri" w:hAnsi="Calibri" w:cs="Arial"/>
                <w:sz w:val="22"/>
                <w:szCs w:val="22"/>
              </w:rPr>
              <w:t>. This will allow quick identification of new safety information. Healthcare professionals are asked to report any suspected adverse reactions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to:</w:t>
            </w:r>
          </w:p>
          <w:p w14:paraId="7EFEF31F" w14:textId="5E5D170E" w:rsidR="00AF521C" w:rsidRDefault="00000000" w:rsidP="00AF521C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proofErr w:type="spellStart"/>
              <w:r w:rsidR="0015049F">
                <w:rPr>
                  <w:rStyle w:val="Hyperlink"/>
                  <w:rFonts w:ascii="Calibri" w:hAnsi="Calibri" w:cs="Arial"/>
                  <w:sz w:val="22"/>
                  <w:szCs w:val="22"/>
                </w:rPr>
                <w:t>mhra</w:t>
              </w:r>
              <w:proofErr w:type="spellEnd"/>
              <w:r w:rsidR="0015049F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 - Yellow card</w:t>
              </w:r>
            </w:hyperlink>
          </w:p>
          <w:p w14:paraId="6330A2F5" w14:textId="45C3C6FF" w:rsidR="00BB3A47" w:rsidRPr="00BB5A19" w:rsidRDefault="00BB3A47" w:rsidP="00F04F1E">
            <w:pPr>
              <w:pStyle w:val="BlockText"/>
              <w:ind w:right="62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12FE" w:rsidRPr="00E12BDD" w14:paraId="051B58F0" w14:textId="77777777" w:rsidTr="00FF3183">
        <w:tc>
          <w:tcPr>
            <w:tcW w:w="2127" w:type="dxa"/>
          </w:tcPr>
          <w:p w14:paraId="0516FA42" w14:textId="77777777" w:rsidR="005612FE" w:rsidRDefault="005612FE" w:rsidP="005612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Drug Interactions</w:t>
            </w:r>
          </w:p>
          <w:p w14:paraId="7D6100E3" w14:textId="77777777" w:rsidR="005612FE" w:rsidRDefault="005612FE" w:rsidP="005612F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83" w:type="dxa"/>
          </w:tcPr>
          <w:p w14:paraId="38946DFC" w14:textId="7CAFED4A" w:rsidR="005612FE" w:rsidRDefault="005612FE" w:rsidP="005612F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5612FE">
              <w:rPr>
                <w:rFonts w:ascii="Calibri" w:hAnsi="Calibri" w:cs="Arial"/>
                <w:sz w:val="22"/>
                <w:szCs w:val="22"/>
              </w:rPr>
              <w:t>evelamer carbonate or calcium acetate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or </w:t>
            </w:r>
            <w:r w:rsidRPr="005612FE">
              <w:rPr>
                <w:rFonts w:ascii="Calibri" w:hAnsi="Calibri" w:cs="Arial"/>
                <w:sz w:val="22"/>
                <w:szCs w:val="22"/>
              </w:rPr>
              <w:t xml:space="preserve">products containing calcium, </w:t>
            </w:r>
            <w:proofErr w:type="gramStart"/>
            <w:r w:rsidRPr="005612FE">
              <w:rPr>
                <w:rFonts w:ascii="Calibri" w:hAnsi="Calibri" w:cs="Arial"/>
                <w:sz w:val="22"/>
                <w:szCs w:val="22"/>
              </w:rPr>
              <w:t>iron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or</w:t>
            </w:r>
            <w:r w:rsidRPr="005612FE">
              <w:rPr>
                <w:rFonts w:ascii="Calibri" w:hAnsi="Calibri" w:cs="Arial"/>
                <w:sz w:val="22"/>
                <w:szCs w:val="22"/>
              </w:rPr>
              <w:t xml:space="preserve"> magnesium</w:t>
            </w:r>
            <w:r w:rsidR="00E47FF3">
              <w:rPr>
                <w:rFonts w:ascii="Calibri" w:hAnsi="Calibri" w:cs="Arial"/>
                <w:sz w:val="22"/>
                <w:szCs w:val="22"/>
              </w:rPr>
              <w:t xml:space="preserve"> (see patient counselling section).</w:t>
            </w:r>
          </w:p>
          <w:p w14:paraId="52E6701C" w14:textId="14E3A80E" w:rsidR="005612FE" w:rsidRDefault="005612FE" w:rsidP="005612F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Statins (increased AUC of statins, monitor for side effects and consider dose reduction)</w:t>
            </w:r>
            <w:r w:rsidR="00BB3A47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2E5AD87" w14:textId="77777777" w:rsidR="005612FE" w:rsidRDefault="00D71C56" w:rsidP="00FD14ED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 w:rsidRPr="00D71C56">
              <w:rPr>
                <w:rFonts w:ascii="Calibri" w:hAnsi="Calibri" w:cs="Arial"/>
                <w:sz w:val="22"/>
                <w:szCs w:val="22"/>
              </w:rPr>
              <w:t xml:space="preserve">When initiating or discontinuing treatment with strong inhibitors (gemfibrozil) or inducers (rifampicin) of CYP2C8 or inhibitors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(probenecid) </w:t>
            </w:r>
            <w:r w:rsidRPr="00D71C56">
              <w:rPr>
                <w:rFonts w:ascii="Calibri" w:hAnsi="Calibri" w:cs="Arial"/>
                <w:sz w:val="22"/>
                <w:szCs w:val="22"/>
              </w:rPr>
              <w:t>of UGT129, Hb should be monitored closely.</w:t>
            </w:r>
          </w:p>
          <w:p w14:paraId="0D6C0C2A" w14:textId="29573DAC" w:rsidR="00BB3A47" w:rsidRPr="00BB5A19" w:rsidRDefault="00BB3A47" w:rsidP="00FD14ED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12FE" w:rsidRPr="00E12BDD" w14:paraId="097E4412" w14:textId="77777777" w:rsidTr="00FF3183">
        <w:tc>
          <w:tcPr>
            <w:tcW w:w="2127" w:type="dxa"/>
          </w:tcPr>
          <w:p w14:paraId="348388D8" w14:textId="77777777" w:rsidR="005612FE" w:rsidRDefault="005612FE" w:rsidP="005612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Patient Counselling</w:t>
            </w:r>
          </w:p>
          <w:p w14:paraId="0DD92B29" w14:textId="77777777" w:rsidR="005612FE" w:rsidRDefault="005612FE" w:rsidP="005612F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83" w:type="dxa"/>
          </w:tcPr>
          <w:p w14:paraId="7A7BED8B" w14:textId="2E7A3BCA" w:rsidR="005612FE" w:rsidRDefault="005612FE" w:rsidP="005612F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 w:rsidRPr="005612FE">
              <w:rPr>
                <w:rFonts w:ascii="Calibri" w:hAnsi="Calibri" w:cs="Arial"/>
                <w:sz w:val="22"/>
                <w:szCs w:val="22"/>
              </w:rPr>
              <w:t>Roxadustat should be taken at least 1 hour after administration of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sevelamer or calcium acetate</w:t>
            </w:r>
            <w:r w:rsidRPr="005612FE">
              <w:rPr>
                <w:rFonts w:ascii="Calibri" w:hAnsi="Calibri" w:cs="Arial"/>
                <w:sz w:val="22"/>
                <w:szCs w:val="22"/>
              </w:rPr>
              <w:t xml:space="preserve"> or other medicinal products or supplements containing </w:t>
            </w:r>
            <w:r w:rsidR="005352B7">
              <w:rPr>
                <w:rFonts w:ascii="Calibri" w:hAnsi="Calibri" w:cs="Arial"/>
                <w:sz w:val="22"/>
                <w:szCs w:val="22"/>
              </w:rPr>
              <w:t xml:space="preserve">calcium, </w:t>
            </w:r>
            <w:proofErr w:type="gramStart"/>
            <w:r w:rsidR="005352B7">
              <w:rPr>
                <w:rFonts w:ascii="Calibri" w:hAnsi="Calibri" w:cs="Arial"/>
                <w:sz w:val="22"/>
                <w:szCs w:val="22"/>
              </w:rPr>
              <w:t>iron</w:t>
            </w:r>
            <w:proofErr w:type="gramEnd"/>
            <w:r w:rsidR="005352B7">
              <w:rPr>
                <w:rFonts w:ascii="Calibri" w:hAnsi="Calibri" w:cs="Arial"/>
                <w:sz w:val="22"/>
                <w:szCs w:val="22"/>
              </w:rPr>
              <w:t xml:space="preserve"> or magnesium</w:t>
            </w:r>
            <w:r w:rsidR="00001A59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9A351DD" w14:textId="77777777" w:rsidR="00E878A5" w:rsidRDefault="00E878A5" w:rsidP="005612F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001A59" w:rsidRPr="00001A59">
              <w:rPr>
                <w:rFonts w:ascii="Calibri" w:hAnsi="Calibri" w:cs="Arial"/>
                <w:sz w:val="22"/>
                <w:szCs w:val="22"/>
              </w:rPr>
              <w:t>issed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dose advice:</w:t>
            </w:r>
          </w:p>
          <w:p w14:paraId="01960864" w14:textId="042F2D51" w:rsidR="00E878A5" w:rsidRDefault="00E878A5" w:rsidP="005612F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it is more than 24</w:t>
            </w:r>
            <w:r w:rsidR="00E47FF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hours until next dose, take the dose and then the next scheduled dose</w:t>
            </w:r>
            <w:r w:rsidR="005352B7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5C3709B" w14:textId="20EA329A" w:rsidR="00001A59" w:rsidRDefault="00E878A5" w:rsidP="005612F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it is less than 24</w:t>
            </w:r>
            <w:r w:rsidR="00E47FF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hours until next dose, do not take dose, take the next scheduled dose</w:t>
            </w:r>
            <w:r w:rsidR="00001A59" w:rsidRPr="00001A59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F598CE0" w14:textId="103ED6CF" w:rsidR="00BB3A47" w:rsidRPr="005612FE" w:rsidRDefault="00BB3A47" w:rsidP="005612F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12FE" w:rsidRPr="008D568E" w14:paraId="0396D555" w14:textId="77777777" w:rsidTr="00FF31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91C" w14:textId="55745453" w:rsidR="005612FE" w:rsidRPr="00082BBD" w:rsidRDefault="00BB3A47" w:rsidP="005612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Other Information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C7C" w14:textId="312C0FF7" w:rsidR="005612FE" w:rsidRDefault="00BB3A47" w:rsidP="005612FE">
            <w:pPr>
              <w:ind w:right="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6989">
              <w:rPr>
                <w:rFonts w:asciiTheme="minorHAnsi" w:hAnsiTheme="minorHAnsi" w:cstheme="minorHAnsi"/>
                <w:sz w:val="22"/>
                <w:szCs w:val="22"/>
              </w:rPr>
              <w:t xml:space="preserve">The Scottish Medicines Consortium has approved its restricted use in patients who are non-dialysis-dependent at the time of treatment initiation. It may be continued if dialysis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then </w:t>
            </w:r>
            <w:r w:rsidRPr="003B6989">
              <w:rPr>
                <w:rFonts w:asciiTheme="minorHAnsi" w:hAnsiTheme="minorHAnsi" w:cstheme="minorHAnsi"/>
                <w:sz w:val="22"/>
                <w:szCs w:val="22"/>
              </w:rPr>
              <w:t>started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46B821" w14:textId="77777777" w:rsidR="002033FA" w:rsidRDefault="00BB3A47" w:rsidP="00BB3A47">
            <w:pPr>
              <w:ind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Refer all new patients to the renal anaemia co-ordinators and </w:t>
            </w:r>
            <w:r w:rsidR="00941FB9">
              <w:rPr>
                <w:rFonts w:ascii="Calibri" w:hAnsi="Calibri" w:cs="Arial"/>
                <w:sz w:val="22"/>
                <w:szCs w:val="22"/>
              </w:rPr>
              <w:t xml:space="preserve">the hospital will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supply </w:t>
            </w:r>
            <w:r w:rsidR="00941FB9">
              <w:rPr>
                <w:rFonts w:ascii="Calibri" w:hAnsi="Calibri" w:cs="Arial"/>
                <w:sz w:val="22"/>
                <w:szCs w:val="22"/>
              </w:rPr>
              <w:t xml:space="preserve">the first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4 weeks of treatment. </w:t>
            </w:r>
          </w:p>
          <w:p w14:paraId="62DBE0CC" w14:textId="020E5104" w:rsidR="00BB3A47" w:rsidRDefault="00BB3A47" w:rsidP="00BB3A47">
            <w:pPr>
              <w:ind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 to the Roxadustat Shared Care Agreement for information regarding ongoing treatment and monitoring in primary</w:t>
            </w:r>
            <w:r w:rsidR="00941FB9">
              <w:rPr>
                <w:rFonts w:ascii="Calibri" w:hAnsi="Calibri" w:cs="Arial"/>
                <w:sz w:val="22"/>
                <w:szCs w:val="22"/>
              </w:rPr>
              <w:t>/secondary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care.</w:t>
            </w:r>
          </w:p>
          <w:p w14:paraId="7E63B77D" w14:textId="18110736" w:rsidR="0086612A" w:rsidRDefault="0086612A" w:rsidP="00BB3A47">
            <w:pPr>
              <w:ind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For further information please refer to </w:t>
            </w:r>
            <w:r w:rsidR="0070296B">
              <w:rPr>
                <w:rFonts w:ascii="Calibri" w:hAnsi="Calibri" w:cs="Arial"/>
                <w:sz w:val="22"/>
                <w:szCs w:val="22"/>
              </w:rPr>
              <w:t>SmPC</w:t>
            </w:r>
            <w:r w:rsidR="00EE6CD4">
              <w:rPr>
                <w:rFonts w:ascii="Calibri" w:hAnsi="Calibri" w:cs="Arial"/>
                <w:sz w:val="22"/>
                <w:szCs w:val="22"/>
              </w:rPr>
              <w:t xml:space="preserve"> and East Region Formulary</w:t>
            </w:r>
          </w:p>
          <w:p w14:paraId="4325102E" w14:textId="380DC59A" w:rsidR="00EE6CD4" w:rsidRDefault="00000000" w:rsidP="00EE6CD4">
            <w:pPr>
              <w:ind w:right="6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hyperlink r:id="rId9" w:history="1">
              <w:r w:rsidR="0015049F">
                <w:rPr>
                  <w:rStyle w:val="Hyperlink"/>
                  <w:rFonts w:ascii="Calibri" w:eastAsiaTheme="minorEastAsia" w:hAnsi="Calibri" w:cs="SegoeUI"/>
                  <w:sz w:val="22"/>
                  <w:szCs w:val="22"/>
                </w:rPr>
                <w:t>SmPC</w:t>
              </w:r>
            </w:hyperlink>
          </w:p>
          <w:p w14:paraId="2E11CC8E" w14:textId="74538513" w:rsidR="00EE6CD4" w:rsidRPr="00EE6CD4" w:rsidRDefault="00000000" w:rsidP="00EE6CD4">
            <w:pPr>
              <w:ind w:right="62"/>
              <w:rPr>
                <w:rFonts w:ascii="Calibri" w:hAnsi="Calibri" w:cs="Arial"/>
                <w:sz w:val="22"/>
                <w:szCs w:val="22"/>
              </w:rPr>
            </w:pPr>
            <w:hyperlink r:id="rId10" w:history="1">
              <w:r w:rsidR="00EE6CD4" w:rsidRPr="00EE6CD4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Formulary | East Region Formulary (</w:t>
              </w:r>
              <w:proofErr w:type="spellStart"/>
              <w:proofErr w:type="gramStart"/>
              <w:r w:rsidR="00EE6CD4" w:rsidRPr="00EE6CD4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nhs.scot</w:t>
              </w:r>
              <w:proofErr w:type="spellEnd"/>
              <w:proofErr w:type="gramEnd"/>
              <w:r w:rsidR="00EE6CD4" w:rsidRPr="00EE6CD4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)</w:t>
              </w:r>
            </w:hyperlink>
          </w:p>
          <w:p w14:paraId="038C50B4" w14:textId="7D1B1D64" w:rsidR="00EE6CD4" w:rsidRPr="005D65A6" w:rsidRDefault="00EE6CD4" w:rsidP="00EE6CD4">
            <w:pPr>
              <w:spacing w:line="24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8655C69" w14:textId="7E49735E" w:rsidR="00BB3A47" w:rsidRPr="00BB5A19" w:rsidRDefault="00BB3A47" w:rsidP="00BB3A47">
            <w:pPr>
              <w:ind w:right="6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C82BF4C" w14:textId="68E09A7C" w:rsidR="005F044B" w:rsidRDefault="005F044B">
      <w:pPr>
        <w:rPr>
          <w:rFonts w:ascii="Calibri" w:hAnsi="Calibri" w:cs="Arial"/>
          <w:sz w:val="28"/>
          <w:szCs w:val="28"/>
        </w:rPr>
      </w:pPr>
    </w:p>
    <w:p w14:paraId="788F0F9C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51DAAED9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43A3CF48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6FC53951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112578B9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220C71CC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24FCA01C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5F3EFD49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0879D0C5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01B99792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22C396A5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231243F3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4864BE8D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21736D80" w14:textId="57D74F7D" w:rsidR="00917D62" w:rsidRDefault="00E47FF3" w:rsidP="00FF19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TABLE 1</w:t>
      </w:r>
    </w:p>
    <w:p w14:paraId="700F6478" w14:textId="77777777" w:rsidR="00E47FF3" w:rsidRDefault="00E47FF3" w:rsidP="00FF190A">
      <w:pPr>
        <w:rPr>
          <w:rFonts w:asciiTheme="minorHAnsi" w:hAnsiTheme="minorHAnsi" w:cstheme="minorHAnsi"/>
          <w:b/>
        </w:rPr>
      </w:pPr>
    </w:p>
    <w:p w14:paraId="2C43C37C" w14:textId="5BA8C95B" w:rsidR="00FF190A" w:rsidRPr="00FF190A" w:rsidRDefault="00FF190A" w:rsidP="00FF190A">
      <w:pPr>
        <w:rPr>
          <w:rFonts w:asciiTheme="minorHAnsi" w:hAnsiTheme="minorHAnsi" w:cstheme="minorHAnsi"/>
          <w:b/>
        </w:rPr>
      </w:pPr>
      <w:r w:rsidRPr="00FF190A">
        <w:rPr>
          <w:rFonts w:asciiTheme="minorHAnsi" w:hAnsiTheme="minorHAnsi" w:cstheme="minorHAnsi"/>
          <w:b/>
        </w:rPr>
        <w:t xml:space="preserve">Roxadustat </w:t>
      </w:r>
      <w:r w:rsidR="00E47FF3">
        <w:rPr>
          <w:rFonts w:asciiTheme="minorHAnsi" w:hAnsiTheme="minorHAnsi" w:cstheme="minorHAnsi"/>
          <w:b/>
        </w:rPr>
        <w:t xml:space="preserve">monitoring and </w:t>
      </w:r>
      <w:r w:rsidRPr="00FF190A">
        <w:rPr>
          <w:rFonts w:asciiTheme="minorHAnsi" w:hAnsiTheme="minorHAnsi" w:cstheme="minorHAnsi"/>
          <w:b/>
        </w:rPr>
        <w:t xml:space="preserve">dose adjustment </w:t>
      </w:r>
      <w:proofErr w:type="gramStart"/>
      <w:r w:rsidRPr="00FF190A">
        <w:rPr>
          <w:rFonts w:asciiTheme="minorHAnsi" w:hAnsiTheme="minorHAnsi" w:cstheme="minorHAnsi"/>
          <w:b/>
        </w:rPr>
        <w:t>rules</w:t>
      </w:r>
      <w:proofErr w:type="gramEnd"/>
    </w:p>
    <w:p w14:paraId="75DECC73" w14:textId="77777777" w:rsidR="00FF190A" w:rsidRDefault="00FF190A">
      <w:pPr>
        <w:rPr>
          <w:rFonts w:ascii="Calibri" w:hAnsi="Calibri" w:cs="Arial"/>
          <w:sz w:val="28"/>
          <w:szCs w:val="28"/>
        </w:rPr>
      </w:pPr>
    </w:p>
    <w:tbl>
      <w:tblPr>
        <w:tblpPr w:leftFromText="180" w:rightFromText="180" w:vertAnchor="text" w:horzAnchor="margin" w:tblpX="-342" w:tblpY="40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45"/>
        <w:gridCol w:w="1848"/>
        <w:gridCol w:w="1849"/>
        <w:gridCol w:w="2085"/>
      </w:tblGrid>
      <w:tr w:rsidR="00FF190A" w:rsidRPr="00FF190A" w14:paraId="128F933F" w14:textId="77777777" w:rsidTr="00906208">
        <w:trPr>
          <w:trHeight w:val="449"/>
        </w:trPr>
        <w:tc>
          <w:tcPr>
            <w:tcW w:w="94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</w:tcPr>
          <w:p w14:paraId="49DECBBF" w14:textId="77777777" w:rsidR="00FF190A" w:rsidRPr="00FF190A" w:rsidRDefault="00FF190A" w:rsidP="009062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Aim to maintain Hb in target range of 100-120g/L.</w:t>
            </w:r>
          </w:p>
          <w:p w14:paraId="033B3C93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Titrate up or down in stepwise manner</w:t>
            </w:r>
            <w:r w:rsidRPr="00FF190A">
              <w:rPr>
                <w:rFonts w:asciiTheme="minorHAnsi" w:hAnsiTheme="minorHAnsi" w:cstheme="minorHAnsi"/>
                <w:sz w:val="22"/>
                <w:szCs w:val="22"/>
                <w:shd w:val="clear" w:color="auto" w:fill="DBE5F1"/>
              </w:rPr>
              <w:t xml:space="preserve">: </w:t>
            </w:r>
            <w:r w:rsidRPr="00FF190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BE5F1"/>
              </w:rPr>
              <w:t xml:space="preserve"> 20 mg - 40 mg - 50 mg - 70 mg - 100 mg - 150 mg - 200 mg - 250 mg - 300 mg</w:t>
            </w:r>
          </w:p>
        </w:tc>
      </w:tr>
      <w:tr w:rsidR="00FF190A" w:rsidRPr="00FF190A" w14:paraId="3F952423" w14:textId="77777777" w:rsidTr="00906208">
        <w:trPr>
          <w:trHeight w:val="448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/>
          </w:tcPr>
          <w:p w14:paraId="29108213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AE77E" w14:textId="71F23874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iCs/>
                <w:sz w:val="22"/>
                <w:szCs w:val="22"/>
              </w:rPr>
              <w:t>Change</w:t>
            </w: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 xml:space="preserve"> in Hb over previous 4 weeks</w:t>
            </w:r>
          </w:p>
        </w:tc>
        <w:tc>
          <w:tcPr>
            <w:tcW w:w="7527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B8CCE4"/>
          </w:tcPr>
          <w:p w14:paraId="2F6FCFC0" w14:textId="77777777" w:rsidR="00FF190A" w:rsidRPr="00FF190A" w:rsidRDefault="00FF190A" w:rsidP="00906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1BFB4" w14:textId="77777777" w:rsidR="00FF190A" w:rsidRPr="00FF190A" w:rsidRDefault="00FF190A" w:rsidP="00906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Current Hb Level g/L</w:t>
            </w:r>
          </w:p>
          <w:p w14:paraId="5FA45D1E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190A" w:rsidRPr="00FF190A" w14:paraId="346EEECB" w14:textId="77777777" w:rsidTr="00E47FF3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/>
          </w:tcPr>
          <w:p w14:paraId="57981D31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</w:tcPr>
          <w:p w14:paraId="2AC392C8" w14:textId="77777777" w:rsidR="00FF190A" w:rsidRPr="00FF190A" w:rsidRDefault="00FF190A" w:rsidP="00906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&lt;105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5B8B7"/>
          </w:tcPr>
          <w:p w14:paraId="3771657C" w14:textId="77777777" w:rsidR="00FF190A" w:rsidRPr="00FF190A" w:rsidRDefault="00FF190A" w:rsidP="00906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  <w:shd w:val="clear" w:color="auto" w:fill="E5B8B7"/>
              </w:rPr>
              <w:t>105-119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9594"/>
          </w:tcPr>
          <w:p w14:paraId="3B4360B4" w14:textId="77777777" w:rsidR="00FF190A" w:rsidRPr="00FF190A" w:rsidRDefault="00FF190A" w:rsidP="00FF1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120-129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E4ED43" w14:textId="55232261" w:rsidR="00FF190A" w:rsidRPr="00FF190A" w:rsidRDefault="00FF190A" w:rsidP="00FF190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&gt;</w:t>
            </w: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  <w:tr w:rsidR="00FF190A" w:rsidRPr="00FF190A" w14:paraId="51E4C03A" w14:textId="77777777" w:rsidTr="00E47FF3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9594"/>
          </w:tcPr>
          <w:p w14:paraId="0866E0FD" w14:textId="1D0FDA29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Hb</w:t>
            </w:r>
            <w:r w:rsidR="002F7109">
              <w:rPr>
                <w:rFonts w:asciiTheme="minorHAnsi" w:hAnsiTheme="minorHAnsi" w:cstheme="minorHAnsi"/>
                <w:sz w:val="22"/>
                <w:szCs w:val="22"/>
              </w:rPr>
              <w:t xml:space="preserve"> has</w:t>
            </w: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 xml:space="preserve"> increased by &gt;10g/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14:paraId="6DD1F691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No change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9594"/>
          </w:tcPr>
          <w:p w14:paraId="2AECFC68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Reduce dose by 1 step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9594"/>
          </w:tcPr>
          <w:p w14:paraId="609BF2A1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Reduce dose by 1 step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B0DCD5" w14:textId="5925B69B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Withhold dosing, monitor Hb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and resume dosing when Hb is less than</w:t>
            </w:r>
          </w:p>
          <w:p w14:paraId="6214C55F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120g/l, at a dose that is reduced by 2 steps</w:t>
            </w:r>
          </w:p>
        </w:tc>
      </w:tr>
      <w:tr w:rsidR="00FF190A" w:rsidRPr="00FF190A" w14:paraId="12642C69" w14:textId="77777777" w:rsidTr="00E47FF3">
        <w:tc>
          <w:tcPr>
            <w:tcW w:w="19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E5B8B7"/>
          </w:tcPr>
          <w:p w14:paraId="1360B83E" w14:textId="6AD7E08D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Hb not significantly changed over 4 weeks</w:t>
            </w:r>
          </w:p>
        </w:tc>
        <w:tc>
          <w:tcPr>
            <w:tcW w:w="17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DBDB"/>
          </w:tcPr>
          <w:p w14:paraId="0088D3AE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Increase dose by 1 step</w:t>
            </w: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14:paraId="1C2D73AF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No change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shd w:val="clear" w:color="auto" w:fill="D99594"/>
          </w:tcPr>
          <w:p w14:paraId="16BBC044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Reduce dose by 1 step</w:t>
            </w: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CBBED1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190A" w:rsidRPr="00FF190A" w14:paraId="19189268" w14:textId="77777777" w:rsidTr="00E47FF3">
        <w:tc>
          <w:tcPr>
            <w:tcW w:w="19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67CD50A5" w14:textId="1C65B22C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 xml:space="preserve">Hb </w:t>
            </w:r>
            <w:r w:rsidR="002F7109">
              <w:rPr>
                <w:rFonts w:asciiTheme="minorHAnsi" w:hAnsiTheme="minorHAnsi" w:cstheme="minorHAnsi"/>
                <w:sz w:val="22"/>
                <w:szCs w:val="22"/>
              </w:rPr>
              <w:t>has fallen</w:t>
            </w: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 xml:space="preserve"> by &gt;10g/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4A9BB8FC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Increase dose by 1 step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53147CBA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Increase dose by 1 step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5401DBF6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90A">
              <w:rPr>
                <w:rFonts w:asciiTheme="minorHAnsi" w:hAnsiTheme="minorHAnsi" w:cstheme="minorHAnsi"/>
                <w:sz w:val="22"/>
                <w:szCs w:val="22"/>
              </w:rPr>
              <w:t>No change</w:t>
            </w: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6057E3" w14:textId="77777777" w:rsidR="00FF190A" w:rsidRPr="00FF190A" w:rsidRDefault="00FF190A" w:rsidP="009062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47FEC7" w14:textId="3AF38B4E" w:rsidR="00FF190A" w:rsidRDefault="00FF190A">
      <w:pPr>
        <w:rPr>
          <w:rFonts w:asciiTheme="minorHAnsi" w:hAnsiTheme="minorHAnsi" w:cstheme="minorHAnsi"/>
          <w:sz w:val="22"/>
          <w:szCs w:val="22"/>
        </w:rPr>
      </w:pPr>
    </w:p>
    <w:p w14:paraId="7ABBD353" w14:textId="02CE08D8" w:rsidR="00575D4D" w:rsidRPr="00575D4D" w:rsidRDefault="00575D4D" w:rsidP="00575D4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75D4D">
        <w:rPr>
          <w:rFonts w:asciiTheme="minorHAnsi" w:hAnsiTheme="minorHAnsi" w:cstheme="minorHAnsi"/>
          <w:sz w:val="22"/>
          <w:szCs w:val="22"/>
        </w:rPr>
        <w:t>Monitor Hb every 2 weeks</w:t>
      </w:r>
      <w:r w:rsidR="0086612A">
        <w:rPr>
          <w:rFonts w:asciiTheme="minorHAnsi" w:hAnsiTheme="minorHAnsi" w:cstheme="minorHAnsi"/>
          <w:sz w:val="22"/>
          <w:szCs w:val="22"/>
        </w:rPr>
        <w:t>.</w:t>
      </w:r>
    </w:p>
    <w:p w14:paraId="12A7102A" w14:textId="3535F872" w:rsidR="00575D4D" w:rsidRPr="00575D4D" w:rsidRDefault="00575D4D" w:rsidP="00575D4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75D4D">
        <w:rPr>
          <w:rFonts w:asciiTheme="minorHAnsi" w:hAnsiTheme="minorHAnsi" w:cstheme="minorHAnsi"/>
          <w:sz w:val="22"/>
          <w:szCs w:val="22"/>
        </w:rPr>
        <w:t>Dose adjustments can be stepped up or down every 4 weeks</w:t>
      </w:r>
      <w:r w:rsidR="0086612A">
        <w:rPr>
          <w:rFonts w:asciiTheme="minorHAnsi" w:hAnsiTheme="minorHAnsi" w:cstheme="minorHAnsi"/>
          <w:sz w:val="22"/>
          <w:szCs w:val="22"/>
        </w:rPr>
        <w:t>.</w:t>
      </w:r>
    </w:p>
    <w:p w14:paraId="2E23DC39" w14:textId="0FD823C5" w:rsidR="00575D4D" w:rsidRPr="00575D4D" w:rsidRDefault="00575D4D" w:rsidP="00575D4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75D4D">
        <w:rPr>
          <w:rFonts w:asciiTheme="minorHAnsi" w:hAnsiTheme="minorHAnsi" w:cstheme="minorHAnsi"/>
          <w:sz w:val="22"/>
          <w:szCs w:val="22"/>
        </w:rPr>
        <w:t>Only adjust dose after 2 weeks if there is an</w:t>
      </w:r>
      <w:r w:rsidRPr="00575D4D">
        <w:rPr>
          <w:rFonts w:asciiTheme="minorHAnsi" w:hAnsiTheme="minorHAnsi" w:cstheme="minorHAnsi"/>
          <w:iCs/>
          <w:sz w:val="22"/>
          <w:szCs w:val="22"/>
        </w:rPr>
        <w:t xml:space="preserve"> increase</w:t>
      </w:r>
      <w:r w:rsidRPr="00575D4D">
        <w:rPr>
          <w:rFonts w:asciiTheme="minorHAnsi" w:hAnsiTheme="minorHAnsi" w:cstheme="minorHAnsi"/>
          <w:sz w:val="22"/>
          <w:szCs w:val="22"/>
        </w:rPr>
        <w:t xml:space="preserve"> in Hb of more than 20g/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575D4D">
        <w:rPr>
          <w:rFonts w:asciiTheme="minorHAnsi" w:hAnsiTheme="minorHAnsi" w:cstheme="minorHAnsi"/>
          <w:sz w:val="22"/>
          <w:szCs w:val="22"/>
        </w:rPr>
        <w:t>, when the dose should be decreased by 1 step immediately.</w:t>
      </w:r>
    </w:p>
    <w:p w14:paraId="30C43CB1" w14:textId="77777777" w:rsidR="00575D4D" w:rsidRPr="00575D4D" w:rsidRDefault="00575D4D" w:rsidP="00575D4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75D4D">
        <w:rPr>
          <w:rFonts w:asciiTheme="minorHAnsi" w:hAnsiTheme="minorHAnsi" w:cstheme="minorHAnsi"/>
          <w:sz w:val="22"/>
          <w:szCs w:val="22"/>
        </w:rPr>
        <w:t>Once Hb is stable monitor monthly.</w:t>
      </w:r>
    </w:p>
    <w:p w14:paraId="41D7F85D" w14:textId="6908E59D" w:rsidR="00575D4D" w:rsidRDefault="00575D4D" w:rsidP="005352B7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75D4D">
        <w:rPr>
          <w:rFonts w:asciiTheme="minorHAnsi" w:hAnsiTheme="minorHAnsi" w:cstheme="minorHAnsi"/>
          <w:sz w:val="22"/>
          <w:szCs w:val="22"/>
        </w:rPr>
        <w:t>If additional dose reduction is necessary for a patient on the lowest dose (20mg) three times per week, do not break tablets, reduce dose frequency to twice weekly or once weekly if further dose reduction is required.</w:t>
      </w:r>
    </w:p>
    <w:p w14:paraId="155D9A92" w14:textId="008A1A32" w:rsidR="005352B7" w:rsidRPr="005352B7" w:rsidRDefault="005352B7" w:rsidP="005352B7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Failure</w:t>
      </w:r>
      <w:r w:rsidR="00BA790E" w:rsidRPr="00BA790E">
        <w:rPr>
          <w:rFonts w:asciiTheme="minorHAnsi" w:hAnsiTheme="minorHAnsi" w:cstheme="minorHAnsi"/>
          <w:sz w:val="22"/>
          <w:szCs w:val="22"/>
        </w:rPr>
        <w:t xml:space="preserve"> to achieve target Hb levels within 24 weeks should prompt search for other causes of anaemia, including blood film, reticulocyte count and consideration of bone marrow biopsy</w:t>
      </w:r>
      <w:r w:rsidR="00BA790E">
        <w:rPr>
          <w:rFonts w:asciiTheme="minorHAnsi" w:hAnsiTheme="minorHAnsi" w:cstheme="minorHAnsi"/>
          <w:sz w:val="22"/>
          <w:szCs w:val="22"/>
        </w:rPr>
        <w:t>. Roxadustat should be discontinued.</w:t>
      </w:r>
    </w:p>
    <w:p w14:paraId="2ADDDAC2" w14:textId="26959420" w:rsidR="00575D4D" w:rsidRDefault="00575D4D">
      <w:pPr>
        <w:rPr>
          <w:rFonts w:asciiTheme="minorHAnsi" w:hAnsiTheme="minorHAnsi" w:cstheme="minorHAnsi"/>
          <w:sz w:val="22"/>
          <w:szCs w:val="22"/>
        </w:rPr>
      </w:pPr>
    </w:p>
    <w:p w14:paraId="256308F3" w14:textId="77777777" w:rsidR="002033FA" w:rsidRDefault="002033FA">
      <w:pPr>
        <w:rPr>
          <w:rFonts w:asciiTheme="minorHAnsi" w:hAnsiTheme="minorHAnsi" w:cstheme="minorHAnsi"/>
          <w:sz w:val="22"/>
          <w:szCs w:val="22"/>
        </w:rPr>
      </w:pPr>
    </w:p>
    <w:p w14:paraId="6BD94BF4" w14:textId="77777777" w:rsidR="00796D17" w:rsidRDefault="00796D17" w:rsidP="00796D17">
      <w:pPr>
        <w:rPr>
          <w:rFonts w:asciiTheme="minorHAnsi" w:hAnsiTheme="minorHAnsi" w:cstheme="minorHAnsi"/>
          <w:b/>
          <w:sz w:val="22"/>
          <w:szCs w:val="22"/>
        </w:rPr>
      </w:pPr>
    </w:p>
    <w:p w14:paraId="6A997D75" w14:textId="1D83FEF9" w:rsidR="00796D17" w:rsidRPr="00796D17" w:rsidRDefault="00796D17" w:rsidP="00796D17">
      <w:pPr>
        <w:rPr>
          <w:rFonts w:asciiTheme="minorHAnsi" w:hAnsiTheme="minorHAnsi" w:cstheme="minorHAnsi"/>
          <w:b/>
          <w:sz w:val="22"/>
          <w:szCs w:val="22"/>
        </w:rPr>
      </w:pPr>
      <w:r w:rsidRPr="00796D17">
        <w:rPr>
          <w:rFonts w:asciiTheme="minorHAnsi" w:hAnsiTheme="minorHAnsi" w:cstheme="minorHAnsi"/>
          <w:b/>
          <w:sz w:val="22"/>
          <w:szCs w:val="22"/>
        </w:rPr>
        <w:t>References</w:t>
      </w:r>
    </w:p>
    <w:p w14:paraId="1D6EE5DF" w14:textId="77777777" w:rsidR="00796D17" w:rsidRPr="00796D17" w:rsidRDefault="00000000" w:rsidP="00796D1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proofErr w:type="spellStart"/>
        <w:r w:rsidR="00796D17" w:rsidRPr="00796D17">
          <w:rPr>
            <w:rStyle w:val="Hyperlink"/>
            <w:rFonts w:asciiTheme="minorHAnsi" w:hAnsiTheme="minorHAnsi" w:cstheme="minorHAnsi"/>
            <w:sz w:val="22"/>
            <w:szCs w:val="22"/>
          </w:rPr>
          <w:t>Evrenzo</w:t>
        </w:r>
        <w:proofErr w:type="spellEnd"/>
        <w:r w:rsidR="00796D17" w:rsidRPr="00796D1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(roxadustat) film coated tablets - Summary of Product Characteristics (SmPC) - (</w:t>
        </w:r>
        <w:proofErr w:type="spellStart"/>
        <w:r w:rsidR="00796D17" w:rsidRPr="00796D17">
          <w:rPr>
            <w:rStyle w:val="Hyperlink"/>
            <w:rFonts w:asciiTheme="minorHAnsi" w:hAnsiTheme="minorHAnsi" w:cstheme="minorHAnsi"/>
            <w:sz w:val="22"/>
            <w:szCs w:val="22"/>
          </w:rPr>
          <w:t>emc</w:t>
        </w:r>
        <w:proofErr w:type="spellEnd"/>
        <w:r w:rsidR="00796D17" w:rsidRPr="00796D17">
          <w:rPr>
            <w:rStyle w:val="Hyperlink"/>
            <w:rFonts w:asciiTheme="minorHAnsi" w:hAnsiTheme="minorHAnsi" w:cstheme="minorHAnsi"/>
            <w:sz w:val="22"/>
            <w:szCs w:val="22"/>
          </w:rPr>
          <w:t>) (medicines.org.uk)</w:t>
        </w:r>
      </w:hyperlink>
    </w:p>
    <w:p w14:paraId="427552DC" w14:textId="77777777" w:rsidR="00796D17" w:rsidRPr="00796D17" w:rsidRDefault="00796D17" w:rsidP="00796D1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796D17">
        <w:rPr>
          <w:rFonts w:asciiTheme="minorHAnsi" w:hAnsiTheme="minorHAnsi" w:cstheme="minorHAnsi"/>
          <w:sz w:val="22"/>
          <w:szCs w:val="22"/>
        </w:rPr>
        <w:t>SMC advice Roxadustat (</w:t>
      </w:r>
      <w:proofErr w:type="spellStart"/>
      <w:r w:rsidRPr="00796D17">
        <w:rPr>
          <w:rFonts w:asciiTheme="minorHAnsi" w:hAnsiTheme="minorHAnsi" w:cstheme="minorHAnsi"/>
          <w:sz w:val="22"/>
          <w:szCs w:val="22"/>
        </w:rPr>
        <w:t>Evrenzo</w:t>
      </w:r>
      <w:proofErr w:type="spellEnd"/>
      <w:r w:rsidRPr="00796D17">
        <w:rPr>
          <w:rFonts w:asciiTheme="minorHAnsi" w:hAnsiTheme="minorHAnsi" w:cstheme="minorHAnsi"/>
          <w:sz w:val="22"/>
          <w:szCs w:val="22"/>
        </w:rPr>
        <w:t xml:space="preserve">) </w:t>
      </w:r>
      <w:hyperlink r:id="rId12" w:history="1">
        <w:r w:rsidRPr="00796D17">
          <w:rPr>
            <w:rStyle w:val="Hyperlink"/>
            <w:rFonts w:asciiTheme="minorHAnsi" w:hAnsiTheme="minorHAnsi" w:cstheme="minorHAnsi"/>
            <w:sz w:val="22"/>
            <w:szCs w:val="22"/>
          </w:rPr>
          <w:t>roxadustat (</w:t>
        </w:r>
        <w:proofErr w:type="spellStart"/>
        <w:r w:rsidRPr="00796D17">
          <w:rPr>
            <w:rStyle w:val="Hyperlink"/>
            <w:rFonts w:asciiTheme="minorHAnsi" w:hAnsiTheme="minorHAnsi" w:cstheme="minorHAnsi"/>
            <w:sz w:val="22"/>
            <w:szCs w:val="22"/>
          </w:rPr>
          <w:t>Evrenzo</w:t>
        </w:r>
        <w:proofErr w:type="spellEnd"/>
        <w:r w:rsidRPr="00796D17">
          <w:rPr>
            <w:rStyle w:val="Hyperlink"/>
            <w:rFonts w:asciiTheme="minorHAnsi" w:hAnsiTheme="minorHAnsi" w:cstheme="minorHAnsi"/>
            <w:sz w:val="22"/>
            <w:szCs w:val="22"/>
          </w:rPr>
          <w:t>) (scottishmedicines.org.uk)</w:t>
        </w:r>
      </w:hyperlink>
    </w:p>
    <w:p w14:paraId="29F89A44" w14:textId="77777777" w:rsidR="00796D17" w:rsidRPr="00796D17" w:rsidRDefault="00796D17" w:rsidP="00796D1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796D17">
        <w:rPr>
          <w:rFonts w:asciiTheme="minorHAnsi" w:hAnsiTheme="minorHAnsi" w:cstheme="minorHAnsi"/>
          <w:sz w:val="22"/>
          <w:szCs w:val="22"/>
        </w:rPr>
        <w:t>National Institute for Health and Clinical Excellence quick reference guide</w:t>
      </w:r>
      <w:proofErr w:type="gramStart"/>
      <w:r w:rsidRPr="00796D17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796D17">
        <w:rPr>
          <w:rFonts w:asciiTheme="minorHAnsi" w:hAnsiTheme="minorHAnsi" w:cstheme="minorHAnsi"/>
          <w:sz w:val="22"/>
          <w:szCs w:val="22"/>
        </w:rPr>
        <w:t>June 2015) Anaemia management in people with chronic kidney disease.</w:t>
      </w:r>
    </w:p>
    <w:p w14:paraId="4142DC19" w14:textId="77777777" w:rsidR="00796D17" w:rsidRPr="00796D17" w:rsidRDefault="00796D17" w:rsidP="00796D1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796D17">
        <w:rPr>
          <w:rFonts w:asciiTheme="minorHAnsi" w:hAnsiTheme="minorHAnsi" w:cstheme="minorHAnsi"/>
          <w:sz w:val="22"/>
          <w:szCs w:val="22"/>
        </w:rPr>
        <w:t xml:space="preserve">Roxadustat for the treatment of anaemia in chronic kidney disease patients not on dialysis; a phase 3, randomized, open-label, active-controlled study (DOLOMITES) Jonathan Barratt et al. Nephrol Dial Transplant (2021) 1–13 </w:t>
      </w:r>
      <w:proofErr w:type="spellStart"/>
      <w:r w:rsidRPr="00796D17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796D17">
        <w:rPr>
          <w:rFonts w:asciiTheme="minorHAnsi" w:hAnsiTheme="minorHAnsi" w:cstheme="minorHAnsi"/>
          <w:sz w:val="22"/>
          <w:szCs w:val="22"/>
        </w:rPr>
        <w:t>: 10.1093/</w:t>
      </w:r>
      <w:proofErr w:type="spellStart"/>
      <w:r w:rsidRPr="00796D17">
        <w:rPr>
          <w:rFonts w:asciiTheme="minorHAnsi" w:hAnsiTheme="minorHAnsi" w:cstheme="minorHAnsi"/>
          <w:sz w:val="22"/>
          <w:szCs w:val="22"/>
        </w:rPr>
        <w:t>ndt</w:t>
      </w:r>
      <w:proofErr w:type="spellEnd"/>
      <w:r w:rsidRPr="00796D17">
        <w:rPr>
          <w:rFonts w:asciiTheme="minorHAnsi" w:hAnsiTheme="minorHAnsi" w:cstheme="minorHAnsi"/>
          <w:sz w:val="22"/>
          <w:szCs w:val="22"/>
        </w:rPr>
        <w:t>/gfab191 Advance Access publication 2 June 2021</w:t>
      </w:r>
    </w:p>
    <w:p w14:paraId="340FFD0C" w14:textId="77777777" w:rsidR="000473C8" w:rsidRPr="00FF190A" w:rsidRDefault="000473C8">
      <w:pPr>
        <w:rPr>
          <w:rFonts w:asciiTheme="minorHAnsi" w:hAnsiTheme="minorHAnsi" w:cstheme="minorHAnsi"/>
          <w:sz w:val="22"/>
          <w:szCs w:val="22"/>
        </w:rPr>
      </w:pPr>
    </w:p>
    <w:sectPr w:rsidR="000473C8" w:rsidRPr="00FF190A" w:rsidSect="00F27F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8B81" w14:textId="77777777" w:rsidR="004E4E58" w:rsidRDefault="004E4E58">
      <w:r>
        <w:separator/>
      </w:r>
    </w:p>
  </w:endnote>
  <w:endnote w:type="continuationSeparator" w:id="0">
    <w:p w14:paraId="4C53CC69" w14:textId="77777777" w:rsidR="004E4E58" w:rsidRDefault="004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7B9C" w14:textId="77777777" w:rsidR="00B572F3" w:rsidRDefault="00B57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D008" w14:textId="6C4EE2C8" w:rsidR="00A96A38" w:rsidRDefault="00FF3183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r w:rsidR="00F04F1E">
      <w:rPr>
        <w:rFonts w:ascii="Calibri" w:hAnsi="Calibri"/>
        <w:b/>
        <w:i/>
        <w:sz w:val="20"/>
        <w:szCs w:val="20"/>
      </w:rPr>
      <w:t>Maggie Davidson, Renal Pharmacist</w:t>
    </w:r>
  </w:p>
  <w:p w14:paraId="3789D0E5" w14:textId="36E5543F" w:rsidR="00A96A38" w:rsidRDefault="00FF3183" w:rsidP="003141D2">
    <w:pPr>
      <w:pStyle w:val="Footer"/>
      <w:jc w:val="right"/>
      <w:rPr>
        <w:rFonts w:ascii="Calibri" w:hAnsi="Calibri"/>
        <w:b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 w:rsidR="00F04F1E">
      <w:rPr>
        <w:rFonts w:ascii="Calibri" w:hAnsi="Calibri"/>
        <w:b/>
        <w:i/>
        <w:sz w:val="20"/>
        <w:szCs w:val="20"/>
      </w:rPr>
      <w:t xml:space="preserve"> John Neary, Renal Consultant</w:t>
    </w:r>
  </w:p>
  <w:p w14:paraId="37674EF7" w14:textId="65534C30" w:rsidR="00B572F3" w:rsidRDefault="00B572F3" w:rsidP="003141D2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 xml:space="preserve">Approved by NHSL D&amp;T committee: </w:t>
    </w:r>
    <w:r w:rsidRPr="00B572F3">
      <w:rPr>
        <w:rFonts w:ascii="Calibri" w:hAnsi="Calibri"/>
        <w:bCs/>
        <w:i/>
        <w:sz w:val="20"/>
        <w:szCs w:val="20"/>
      </w:rPr>
      <w:t>March 2024</w:t>
    </w:r>
  </w:p>
  <w:p w14:paraId="3D1FC320" w14:textId="01303BD7" w:rsidR="00FF3183" w:rsidRPr="003141D2" w:rsidRDefault="00FF3183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Date written:</w:t>
    </w:r>
    <w:r w:rsidR="005A50E3">
      <w:rPr>
        <w:rFonts w:ascii="Calibri" w:hAnsi="Calibri"/>
        <w:i/>
        <w:sz w:val="20"/>
        <w:szCs w:val="20"/>
      </w:rPr>
      <w:t xml:space="preserve"> </w:t>
    </w:r>
    <w:r w:rsidR="00B572F3">
      <w:rPr>
        <w:rFonts w:ascii="Calibri" w:hAnsi="Calibri"/>
        <w:i/>
        <w:sz w:val="20"/>
        <w:szCs w:val="20"/>
      </w:rPr>
      <w:t>March</w:t>
    </w:r>
    <w:r w:rsidR="005A50E3">
      <w:rPr>
        <w:rFonts w:ascii="Calibri" w:hAnsi="Calibri"/>
        <w:i/>
        <w:sz w:val="20"/>
        <w:szCs w:val="20"/>
      </w:rPr>
      <w:t xml:space="preserve"> 202</w:t>
    </w:r>
    <w:r w:rsidR="00B572F3">
      <w:rPr>
        <w:rFonts w:ascii="Calibri" w:hAnsi="Calibri"/>
        <w:i/>
        <w:sz w:val="20"/>
        <w:szCs w:val="20"/>
      </w:rPr>
      <w:t>4</w:t>
    </w:r>
  </w:p>
  <w:p w14:paraId="068D659D" w14:textId="72A1D6E8" w:rsidR="00FF3183" w:rsidRDefault="00FF3183" w:rsidP="003141D2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 w:rsidR="005A50E3">
      <w:rPr>
        <w:rFonts w:ascii="Calibri" w:hAnsi="Calibri"/>
        <w:i/>
        <w:sz w:val="20"/>
        <w:szCs w:val="20"/>
      </w:rPr>
      <w:t xml:space="preserve"> </w:t>
    </w:r>
    <w:r w:rsidR="00B572F3">
      <w:rPr>
        <w:rFonts w:ascii="Calibri" w:hAnsi="Calibri"/>
        <w:i/>
        <w:sz w:val="20"/>
        <w:szCs w:val="20"/>
      </w:rPr>
      <w:t>March</w:t>
    </w:r>
    <w:r w:rsidR="005A50E3">
      <w:rPr>
        <w:rFonts w:ascii="Calibri" w:hAnsi="Calibri"/>
        <w:i/>
        <w:sz w:val="20"/>
        <w:szCs w:val="20"/>
      </w:rPr>
      <w:t xml:space="preserve"> 202</w:t>
    </w:r>
    <w:r w:rsidR="00B572F3">
      <w:rPr>
        <w:rFonts w:ascii="Calibri" w:hAnsi="Calibri"/>
        <w:i/>
        <w:sz w:val="20"/>
        <w:szCs w:val="20"/>
      </w:rPr>
      <w:t>7</w:t>
    </w:r>
  </w:p>
  <w:p w14:paraId="797FFA58" w14:textId="77777777" w:rsidR="00FF3183" w:rsidRDefault="00FF3183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14:paraId="3DB3F8A8" w14:textId="77777777" w:rsidR="00FF3183" w:rsidRPr="0090740F" w:rsidRDefault="00FF3183" w:rsidP="0090740F">
    <w:pPr>
      <w:pStyle w:val="Footer"/>
      <w:jc w:val="right"/>
      <w:rPr>
        <w:rFonts w:ascii="Calibri" w:hAnsi="Calibri"/>
        <w:b/>
        <w:i/>
        <w:sz w:val="20"/>
        <w:szCs w:val="20"/>
      </w:rPr>
    </w:pPr>
    <w:r w:rsidRPr="0090740F">
      <w:rPr>
        <w:rFonts w:ascii="Calibri" w:hAnsi="Calibri"/>
        <w:b/>
        <w:i/>
        <w:sz w:val="20"/>
        <w:szCs w:val="20"/>
      </w:rPr>
      <w:t xml:space="preserve">page </w:t>
    </w:r>
    <w:r w:rsidR="00A05F2B" w:rsidRPr="0090740F">
      <w:rPr>
        <w:rFonts w:ascii="Calibri" w:hAnsi="Calibri"/>
        <w:b/>
        <w:i/>
        <w:sz w:val="20"/>
        <w:szCs w:val="20"/>
      </w:rPr>
      <w:fldChar w:fldCharType="begin"/>
    </w:r>
    <w:r w:rsidRPr="0090740F">
      <w:rPr>
        <w:rFonts w:ascii="Calibri" w:hAnsi="Calibri"/>
        <w:b/>
        <w:i/>
        <w:sz w:val="20"/>
        <w:szCs w:val="20"/>
      </w:rPr>
      <w:instrText xml:space="preserve"> PAGE   \* MERGEFORMAT </w:instrText>
    </w:r>
    <w:r w:rsidR="00A05F2B" w:rsidRPr="0090740F">
      <w:rPr>
        <w:rFonts w:ascii="Calibri" w:hAnsi="Calibri"/>
        <w:b/>
        <w:i/>
        <w:sz w:val="20"/>
        <w:szCs w:val="20"/>
      </w:rPr>
      <w:fldChar w:fldCharType="separate"/>
    </w:r>
    <w:r w:rsidR="00A96A38">
      <w:rPr>
        <w:rFonts w:ascii="Calibri" w:hAnsi="Calibri"/>
        <w:b/>
        <w:i/>
        <w:noProof/>
        <w:sz w:val="20"/>
        <w:szCs w:val="20"/>
      </w:rPr>
      <w:t>1</w:t>
    </w:r>
    <w:r w:rsidR="00A05F2B" w:rsidRPr="0090740F">
      <w:rPr>
        <w:rFonts w:ascii="Calibri" w:hAnsi="Calibri"/>
        <w:b/>
        <w:i/>
        <w:sz w:val="20"/>
        <w:szCs w:val="20"/>
      </w:rPr>
      <w:fldChar w:fldCharType="end"/>
    </w:r>
    <w:r w:rsidRPr="0090740F"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="00A96A38" w:rsidRPr="00A96A38">
        <w:rPr>
          <w:rFonts w:ascii="Calibri" w:hAnsi="Calibri"/>
          <w:b/>
          <w:i/>
          <w:noProof/>
          <w:sz w:val="20"/>
          <w:szCs w:val="20"/>
        </w:rPr>
        <w:t>1</w:t>
      </w:r>
    </w:fldSimple>
  </w:p>
  <w:p w14:paraId="3C571415" w14:textId="77777777" w:rsidR="00FF3183" w:rsidRPr="003141D2" w:rsidRDefault="00FF3183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14:paraId="73AA354E" w14:textId="65EB1741" w:rsidR="00FF3183" w:rsidRPr="003141D2" w:rsidRDefault="00FF3183" w:rsidP="003141D2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="00A05F2B"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="00A05F2B" w:rsidRPr="003141D2">
      <w:rPr>
        <w:rFonts w:ascii="Calibri" w:hAnsi="Calibri"/>
        <w:i/>
        <w:sz w:val="16"/>
        <w:szCs w:val="16"/>
      </w:rPr>
      <w:fldChar w:fldCharType="separate"/>
    </w:r>
    <w:r w:rsidR="0015049F">
      <w:rPr>
        <w:rFonts w:ascii="Calibri" w:hAnsi="Calibri"/>
        <w:i/>
        <w:noProof/>
        <w:sz w:val="16"/>
        <w:szCs w:val="16"/>
      </w:rPr>
      <w:t>07 May 2024</w:t>
    </w:r>
    <w:r w:rsidR="00A05F2B"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8A13" w14:textId="77777777" w:rsidR="00B572F3" w:rsidRDefault="00B57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F154" w14:textId="77777777" w:rsidR="004E4E58" w:rsidRDefault="004E4E58">
      <w:r>
        <w:separator/>
      </w:r>
    </w:p>
  </w:footnote>
  <w:footnote w:type="continuationSeparator" w:id="0">
    <w:p w14:paraId="34300496" w14:textId="77777777" w:rsidR="004E4E58" w:rsidRDefault="004E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9182" w14:textId="77777777" w:rsidR="00B572F3" w:rsidRDefault="00B57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4DB3" w14:textId="77777777" w:rsidR="00B572F3" w:rsidRDefault="00B57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E9A5" w14:textId="77777777" w:rsidR="00B572F3" w:rsidRDefault="00B57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288"/>
    <w:multiLevelType w:val="hybridMultilevel"/>
    <w:tmpl w:val="2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6935"/>
    <w:multiLevelType w:val="hybridMultilevel"/>
    <w:tmpl w:val="3A76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7A6E"/>
    <w:multiLevelType w:val="hybridMultilevel"/>
    <w:tmpl w:val="3AD6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710A"/>
    <w:multiLevelType w:val="hybridMultilevel"/>
    <w:tmpl w:val="D3A8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7C9"/>
    <w:multiLevelType w:val="hybridMultilevel"/>
    <w:tmpl w:val="C3B0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C7274"/>
    <w:multiLevelType w:val="hybridMultilevel"/>
    <w:tmpl w:val="75C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34B1"/>
    <w:multiLevelType w:val="hybridMultilevel"/>
    <w:tmpl w:val="413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02A9"/>
    <w:multiLevelType w:val="hybridMultilevel"/>
    <w:tmpl w:val="8EB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00313"/>
    <w:multiLevelType w:val="hybridMultilevel"/>
    <w:tmpl w:val="7F68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77D9"/>
    <w:multiLevelType w:val="hybridMultilevel"/>
    <w:tmpl w:val="0CC0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56D76"/>
    <w:multiLevelType w:val="hybridMultilevel"/>
    <w:tmpl w:val="83A4ABDA"/>
    <w:lvl w:ilvl="0" w:tplc="E09EB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B1BAC"/>
    <w:multiLevelType w:val="hybridMultilevel"/>
    <w:tmpl w:val="7940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759E"/>
    <w:multiLevelType w:val="hybridMultilevel"/>
    <w:tmpl w:val="0A8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E6E3F"/>
    <w:multiLevelType w:val="hybridMultilevel"/>
    <w:tmpl w:val="5CB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18618">
    <w:abstractNumId w:val="6"/>
  </w:num>
  <w:num w:numId="2" w16cid:durableId="1302686588">
    <w:abstractNumId w:val="1"/>
  </w:num>
  <w:num w:numId="3" w16cid:durableId="816143320">
    <w:abstractNumId w:val="7"/>
  </w:num>
  <w:num w:numId="4" w16cid:durableId="1319729483">
    <w:abstractNumId w:val="8"/>
  </w:num>
  <w:num w:numId="5" w16cid:durableId="2054038065">
    <w:abstractNumId w:val="3"/>
  </w:num>
  <w:num w:numId="6" w16cid:durableId="1952323805">
    <w:abstractNumId w:val="15"/>
  </w:num>
  <w:num w:numId="7" w16cid:durableId="51079395">
    <w:abstractNumId w:val="14"/>
  </w:num>
  <w:num w:numId="8" w16cid:durableId="1801998131">
    <w:abstractNumId w:val="0"/>
  </w:num>
  <w:num w:numId="9" w16cid:durableId="1476332922">
    <w:abstractNumId w:val="11"/>
  </w:num>
  <w:num w:numId="10" w16cid:durableId="844243253">
    <w:abstractNumId w:val="9"/>
  </w:num>
  <w:num w:numId="11" w16cid:durableId="703139373">
    <w:abstractNumId w:val="4"/>
  </w:num>
  <w:num w:numId="12" w16cid:durableId="878664526">
    <w:abstractNumId w:val="13"/>
  </w:num>
  <w:num w:numId="13" w16cid:durableId="282074846">
    <w:abstractNumId w:val="2"/>
  </w:num>
  <w:num w:numId="14" w16cid:durableId="2099935263">
    <w:abstractNumId w:val="5"/>
  </w:num>
  <w:num w:numId="15" w16cid:durableId="45494196">
    <w:abstractNumId w:val="10"/>
  </w:num>
  <w:num w:numId="16" w16cid:durableId="8200045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7A"/>
    <w:rsid w:val="00001A59"/>
    <w:rsid w:val="00023D71"/>
    <w:rsid w:val="000473C8"/>
    <w:rsid w:val="000532FF"/>
    <w:rsid w:val="00062DB3"/>
    <w:rsid w:val="00064A0A"/>
    <w:rsid w:val="00082BBD"/>
    <w:rsid w:val="00091619"/>
    <w:rsid w:val="000C15F1"/>
    <w:rsid w:val="000E6548"/>
    <w:rsid w:val="000E6E80"/>
    <w:rsid w:val="00123F9F"/>
    <w:rsid w:val="00124B77"/>
    <w:rsid w:val="001501E5"/>
    <w:rsid w:val="0015049F"/>
    <w:rsid w:val="00160F26"/>
    <w:rsid w:val="00162578"/>
    <w:rsid w:val="00186DAC"/>
    <w:rsid w:val="00190C0E"/>
    <w:rsid w:val="001A0FE3"/>
    <w:rsid w:val="001B253C"/>
    <w:rsid w:val="001B6582"/>
    <w:rsid w:val="001B6CA8"/>
    <w:rsid w:val="001C3BFD"/>
    <w:rsid w:val="001F184C"/>
    <w:rsid w:val="001F48C3"/>
    <w:rsid w:val="00200C52"/>
    <w:rsid w:val="00202975"/>
    <w:rsid w:val="002033FA"/>
    <w:rsid w:val="00225B81"/>
    <w:rsid w:val="0022729B"/>
    <w:rsid w:val="00265B19"/>
    <w:rsid w:val="00286AA7"/>
    <w:rsid w:val="0028751F"/>
    <w:rsid w:val="00293B7B"/>
    <w:rsid w:val="002A1B2B"/>
    <w:rsid w:val="002D460B"/>
    <w:rsid w:val="002F7109"/>
    <w:rsid w:val="003052D3"/>
    <w:rsid w:val="003141D2"/>
    <w:rsid w:val="00333A01"/>
    <w:rsid w:val="003407C5"/>
    <w:rsid w:val="00342D85"/>
    <w:rsid w:val="00350B93"/>
    <w:rsid w:val="0035107A"/>
    <w:rsid w:val="0036517C"/>
    <w:rsid w:val="003A6E9E"/>
    <w:rsid w:val="003B4A19"/>
    <w:rsid w:val="003B6989"/>
    <w:rsid w:val="003E5ADF"/>
    <w:rsid w:val="00427C55"/>
    <w:rsid w:val="00435BBF"/>
    <w:rsid w:val="004427A4"/>
    <w:rsid w:val="00462756"/>
    <w:rsid w:val="004C3AAB"/>
    <w:rsid w:val="004E4E58"/>
    <w:rsid w:val="004E6F1D"/>
    <w:rsid w:val="005352B7"/>
    <w:rsid w:val="005612FE"/>
    <w:rsid w:val="00575D4D"/>
    <w:rsid w:val="005852F5"/>
    <w:rsid w:val="005A50E3"/>
    <w:rsid w:val="005B056B"/>
    <w:rsid w:val="005B6146"/>
    <w:rsid w:val="005C698A"/>
    <w:rsid w:val="005F044B"/>
    <w:rsid w:val="005F44ED"/>
    <w:rsid w:val="00615CF2"/>
    <w:rsid w:val="0062055E"/>
    <w:rsid w:val="00642074"/>
    <w:rsid w:val="00653258"/>
    <w:rsid w:val="00654962"/>
    <w:rsid w:val="00665703"/>
    <w:rsid w:val="0070296B"/>
    <w:rsid w:val="00710221"/>
    <w:rsid w:val="00722C63"/>
    <w:rsid w:val="00743E14"/>
    <w:rsid w:val="00753EE1"/>
    <w:rsid w:val="00757560"/>
    <w:rsid w:val="007639D7"/>
    <w:rsid w:val="00796D17"/>
    <w:rsid w:val="007A7E70"/>
    <w:rsid w:val="007E270E"/>
    <w:rsid w:val="007E7775"/>
    <w:rsid w:val="007F1988"/>
    <w:rsid w:val="007F2319"/>
    <w:rsid w:val="008052C1"/>
    <w:rsid w:val="008067C9"/>
    <w:rsid w:val="008145BE"/>
    <w:rsid w:val="00823D6C"/>
    <w:rsid w:val="00837406"/>
    <w:rsid w:val="00843EEA"/>
    <w:rsid w:val="0086612A"/>
    <w:rsid w:val="00870C3D"/>
    <w:rsid w:val="008776DE"/>
    <w:rsid w:val="00883D9A"/>
    <w:rsid w:val="0089251D"/>
    <w:rsid w:val="008A5BA6"/>
    <w:rsid w:val="008A6538"/>
    <w:rsid w:val="008A7E77"/>
    <w:rsid w:val="008C2429"/>
    <w:rsid w:val="008C7A93"/>
    <w:rsid w:val="008C7B2E"/>
    <w:rsid w:val="008D568E"/>
    <w:rsid w:val="008E09CB"/>
    <w:rsid w:val="008F14CE"/>
    <w:rsid w:val="008F40E0"/>
    <w:rsid w:val="009007B7"/>
    <w:rsid w:val="0090740F"/>
    <w:rsid w:val="00917D62"/>
    <w:rsid w:val="00941FB9"/>
    <w:rsid w:val="009463FF"/>
    <w:rsid w:val="00972E28"/>
    <w:rsid w:val="0098553F"/>
    <w:rsid w:val="00996C68"/>
    <w:rsid w:val="009C18F6"/>
    <w:rsid w:val="009E3084"/>
    <w:rsid w:val="009E30D2"/>
    <w:rsid w:val="00A04FB3"/>
    <w:rsid w:val="00A05F2B"/>
    <w:rsid w:val="00A239D2"/>
    <w:rsid w:val="00A34F56"/>
    <w:rsid w:val="00A378FB"/>
    <w:rsid w:val="00A4303E"/>
    <w:rsid w:val="00A71505"/>
    <w:rsid w:val="00A741E3"/>
    <w:rsid w:val="00A85095"/>
    <w:rsid w:val="00A8712D"/>
    <w:rsid w:val="00A96A38"/>
    <w:rsid w:val="00AB3E01"/>
    <w:rsid w:val="00AE3CD2"/>
    <w:rsid w:val="00AF521C"/>
    <w:rsid w:val="00AF6373"/>
    <w:rsid w:val="00B13A0F"/>
    <w:rsid w:val="00B25844"/>
    <w:rsid w:val="00B56145"/>
    <w:rsid w:val="00B572F3"/>
    <w:rsid w:val="00B62256"/>
    <w:rsid w:val="00B85BAC"/>
    <w:rsid w:val="00BA2823"/>
    <w:rsid w:val="00BA790E"/>
    <w:rsid w:val="00BB3A47"/>
    <w:rsid w:val="00BB5A19"/>
    <w:rsid w:val="00BC42D0"/>
    <w:rsid w:val="00BF1D57"/>
    <w:rsid w:val="00BF44DD"/>
    <w:rsid w:val="00BF70E6"/>
    <w:rsid w:val="00C305F6"/>
    <w:rsid w:val="00C62F58"/>
    <w:rsid w:val="00C677EC"/>
    <w:rsid w:val="00CA1BC0"/>
    <w:rsid w:val="00CB5503"/>
    <w:rsid w:val="00CE4E83"/>
    <w:rsid w:val="00D20563"/>
    <w:rsid w:val="00D61F18"/>
    <w:rsid w:val="00D71C56"/>
    <w:rsid w:val="00D7277C"/>
    <w:rsid w:val="00D807DD"/>
    <w:rsid w:val="00D82572"/>
    <w:rsid w:val="00DA0F7B"/>
    <w:rsid w:val="00DC6031"/>
    <w:rsid w:val="00E12BDD"/>
    <w:rsid w:val="00E35485"/>
    <w:rsid w:val="00E47FF3"/>
    <w:rsid w:val="00E5750E"/>
    <w:rsid w:val="00E6232B"/>
    <w:rsid w:val="00E878A5"/>
    <w:rsid w:val="00EA5478"/>
    <w:rsid w:val="00EB1224"/>
    <w:rsid w:val="00ED237E"/>
    <w:rsid w:val="00ED3645"/>
    <w:rsid w:val="00EE45BC"/>
    <w:rsid w:val="00EE6CD4"/>
    <w:rsid w:val="00F01B82"/>
    <w:rsid w:val="00F04F1E"/>
    <w:rsid w:val="00F15572"/>
    <w:rsid w:val="00F27F20"/>
    <w:rsid w:val="00F76C53"/>
    <w:rsid w:val="00F80228"/>
    <w:rsid w:val="00FA3A96"/>
    <w:rsid w:val="00FB22F0"/>
    <w:rsid w:val="00FC6D89"/>
    <w:rsid w:val="00FD14ED"/>
    <w:rsid w:val="00FE165A"/>
    <w:rsid w:val="00FF190A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438B42"/>
  <w15:docId w15:val="{6D284B7F-A61C-4D97-8674-EC3BCB63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27C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F5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llowcard.mhra.gov.u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ttishmedicines.org.uk/medicines-advice/roxadustat-evrenzo-full-smc2461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cines.org.uk/emc/product/12835/smp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ulary.nhs.scot/ea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cines.org.uk/emc/product/12835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Davidson, Maggie</cp:lastModifiedBy>
  <cp:revision>36</cp:revision>
  <cp:lastPrinted>2017-05-31T17:21:00Z</cp:lastPrinted>
  <dcterms:created xsi:type="dcterms:W3CDTF">2023-08-24T10:12:00Z</dcterms:created>
  <dcterms:modified xsi:type="dcterms:W3CDTF">2024-05-07T16:05:00Z</dcterms:modified>
</cp:coreProperties>
</file>