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07"/>
        <w:tblW w:w="974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5F044B" w:rsidTr="003141D2">
        <w:trPr>
          <w:trHeight w:val="993"/>
        </w:trPr>
        <w:tc>
          <w:tcPr>
            <w:tcW w:w="9747" w:type="dxa"/>
          </w:tcPr>
          <w:p w:rsidR="005F044B" w:rsidRDefault="005F044B" w:rsidP="00972E2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Renal Directorate Guidelines</w:t>
            </w:r>
          </w:p>
          <w:p w:rsidR="005F044B" w:rsidRPr="003E7610" w:rsidRDefault="005F044B" w:rsidP="00F27F20">
            <w:pPr>
              <w:ind w:right="-433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3E7610">
              <w:rPr>
                <w:rFonts w:ascii="Calibri" w:hAnsi="Calibri" w:cs="Arial"/>
                <w:b/>
                <w:bCs/>
                <w:sz w:val="28"/>
                <w:szCs w:val="28"/>
              </w:rPr>
              <w:t>Royal Infirmary of Edinburgh</w:t>
            </w:r>
          </w:p>
          <w:p w:rsidR="003E7610" w:rsidRPr="00972E28" w:rsidRDefault="003E7610" w:rsidP="00F27F20">
            <w:pPr>
              <w:ind w:right="-433"/>
              <w:rPr>
                <w:rFonts w:ascii="Calibri" w:hAnsi="Calibri" w:cs="Arial"/>
                <w:sz w:val="28"/>
                <w:szCs w:val="28"/>
              </w:rPr>
            </w:pPr>
            <w:r w:rsidRPr="003E7610">
              <w:rPr>
                <w:rFonts w:ascii="Calibri" w:hAnsi="Calibri" w:cs="Arial"/>
                <w:b/>
                <w:bCs/>
                <w:sz w:val="28"/>
                <w:szCs w:val="28"/>
              </w:rPr>
              <w:t>Renal Directorate Guidelines</w:t>
            </w:r>
          </w:p>
        </w:tc>
      </w:tr>
    </w:tbl>
    <w:p w:rsidR="003141D2" w:rsidRPr="003141D2" w:rsidRDefault="003141D2" w:rsidP="00F27F20">
      <w:pPr>
        <w:ind w:left="-142"/>
        <w:rPr>
          <w:rFonts w:ascii="Calibri" w:hAnsi="Calibri" w:cs="Arial"/>
          <w:b/>
          <w:sz w:val="16"/>
          <w:szCs w:val="16"/>
        </w:rPr>
      </w:pPr>
      <w:r w:rsidRPr="003141D2">
        <w:rPr>
          <w:rFonts w:ascii="Calibri" w:hAnsi="Calibri" w:cs="Arial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5128260</wp:posOffset>
            </wp:positionH>
            <wp:positionV relativeFrom="paragraph">
              <wp:posOffset>-334010</wp:posOffset>
            </wp:positionV>
            <wp:extent cx="755650" cy="598805"/>
            <wp:effectExtent l="19050" t="0" r="6350" b="0"/>
            <wp:wrapTight wrapText="bothSides">
              <wp:wrapPolygon edited="0">
                <wp:start x="-545" y="0"/>
                <wp:lineTo x="-545" y="20615"/>
                <wp:lineTo x="21782" y="20615"/>
                <wp:lineTo x="21782" y="0"/>
                <wp:lineTo x="-54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3043" b="8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44B" w:rsidRDefault="00C97E9E" w:rsidP="00F27F20">
      <w:pPr>
        <w:ind w:left="-142"/>
        <w:rPr>
          <w:rFonts w:ascii="Calibri" w:hAnsi="Calibri" w:cs="Arial"/>
          <w:b/>
          <w:sz w:val="32"/>
          <w:szCs w:val="32"/>
        </w:rPr>
      </w:pPr>
      <w:proofErr w:type="spellStart"/>
      <w:r>
        <w:rPr>
          <w:rFonts w:ascii="Calibri" w:hAnsi="Calibri" w:cs="Arial"/>
          <w:b/>
          <w:sz w:val="32"/>
          <w:szCs w:val="32"/>
        </w:rPr>
        <w:t>Avacopan</w:t>
      </w:r>
      <w:proofErr w:type="spellEnd"/>
    </w:p>
    <w:p w:rsidR="00A04FB3" w:rsidRPr="00265B19" w:rsidRDefault="00A04FB3" w:rsidP="00972E28"/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7683"/>
      </w:tblGrid>
      <w:tr w:rsidR="00753EE1" w:rsidRPr="00E12BDD" w:rsidTr="00FF3183">
        <w:tc>
          <w:tcPr>
            <w:tcW w:w="2127" w:type="dxa"/>
          </w:tcPr>
          <w:p w:rsidR="00753EE1" w:rsidRDefault="00753EE1" w:rsidP="009E30D2">
            <w:pPr>
              <w:rPr>
                <w:rFonts w:ascii="Calibri" w:hAnsi="Calibri" w:cs="Arial"/>
                <w:b/>
              </w:rPr>
            </w:pPr>
            <w:r w:rsidRPr="00823D6C">
              <w:rPr>
                <w:rFonts w:ascii="Calibri" w:hAnsi="Calibri" w:cs="Arial"/>
                <w:b/>
              </w:rPr>
              <w:t>Indication</w:t>
            </w:r>
            <w:r>
              <w:rPr>
                <w:rFonts w:ascii="Calibri" w:hAnsi="Calibri" w:cs="Arial"/>
                <w:b/>
              </w:rPr>
              <w:t xml:space="preserve"> and additional Information</w:t>
            </w:r>
          </w:p>
          <w:p w:rsidR="00F27F20" w:rsidRPr="00823D6C" w:rsidRDefault="00F27F20" w:rsidP="009E30D2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683" w:type="dxa"/>
          </w:tcPr>
          <w:p w:rsidR="00C97E9E" w:rsidRDefault="00C97E9E" w:rsidP="00C97E9E">
            <w:pPr>
              <w:pStyle w:val="BlockText"/>
              <w:ind w:left="0" w:right="62"/>
              <w:rPr>
                <w:rFonts w:ascii="Calibri" w:hAnsi="Calibri" w:cs="Arial"/>
                <w:sz w:val="22"/>
                <w:szCs w:val="22"/>
              </w:rPr>
            </w:pPr>
            <w:r w:rsidRPr="00C97E9E">
              <w:rPr>
                <w:rFonts w:ascii="Calibri" w:hAnsi="Calibri" w:cs="Arial"/>
                <w:sz w:val="22"/>
                <w:szCs w:val="22"/>
              </w:rPr>
              <w:t xml:space="preserve">SMC have approved the use of </w:t>
            </w:r>
            <w:proofErr w:type="spellStart"/>
            <w:r w:rsidRPr="00C97E9E">
              <w:rPr>
                <w:rFonts w:ascii="Calibri" w:hAnsi="Calibri" w:cs="Arial"/>
                <w:sz w:val="22"/>
                <w:szCs w:val="22"/>
              </w:rPr>
              <w:t>avacopan</w:t>
            </w:r>
            <w:proofErr w:type="spellEnd"/>
            <w:r w:rsidR="00BB203C">
              <w:rPr>
                <w:rFonts w:ascii="Calibri" w:hAnsi="Calibri" w:cs="Arial"/>
                <w:sz w:val="22"/>
                <w:szCs w:val="22"/>
              </w:rPr>
              <w:t xml:space="preserve"> if used</w:t>
            </w:r>
            <w:r w:rsidRPr="00C97E9E"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C97E9E" w:rsidRPr="00C97E9E" w:rsidRDefault="00C97E9E" w:rsidP="00C97E9E">
            <w:pPr>
              <w:pStyle w:val="BlockText"/>
              <w:ind w:left="0" w:right="62"/>
              <w:rPr>
                <w:rFonts w:ascii="Calibri" w:hAnsi="Calibri" w:cs="Arial"/>
                <w:sz w:val="22"/>
                <w:szCs w:val="22"/>
              </w:rPr>
            </w:pPr>
          </w:p>
          <w:p w:rsidR="00FF3183" w:rsidRDefault="00C97E9E" w:rsidP="00C97E9E">
            <w:pPr>
              <w:pStyle w:val="BlockText"/>
              <w:numPr>
                <w:ilvl w:val="0"/>
                <w:numId w:val="12"/>
              </w:numPr>
              <w:ind w:right="62"/>
              <w:rPr>
                <w:rFonts w:ascii="Calibri" w:hAnsi="Calibri" w:cs="Arial"/>
                <w:sz w:val="22"/>
                <w:szCs w:val="22"/>
              </w:rPr>
            </w:pPr>
            <w:r w:rsidRPr="00C97E9E">
              <w:rPr>
                <w:rFonts w:ascii="Calibri" w:hAnsi="Calibri" w:cs="Arial"/>
                <w:sz w:val="22"/>
                <w:szCs w:val="22"/>
              </w:rPr>
              <w:t xml:space="preserve">in combination with a </w:t>
            </w:r>
            <w:proofErr w:type="spellStart"/>
            <w:r w:rsidRPr="00C97E9E">
              <w:rPr>
                <w:rFonts w:ascii="Calibri" w:hAnsi="Calibri" w:cs="Arial"/>
                <w:sz w:val="22"/>
                <w:szCs w:val="22"/>
              </w:rPr>
              <w:t>rituximab</w:t>
            </w:r>
            <w:proofErr w:type="spellEnd"/>
            <w:r w:rsidRPr="00C97E9E">
              <w:rPr>
                <w:rFonts w:ascii="Calibri" w:hAnsi="Calibri" w:cs="Arial"/>
                <w:sz w:val="22"/>
                <w:szCs w:val="22"/>
              </w:rPr>
              <w:t xml:space="preserve"> or </w:t>
            </w:r>
            <w:proofErr w:type="spellStart"/>
            <w:r w:rsidRPr="00C97E9E">
              <w:rPr>
                <w:rFonts w:ascii="Calibri" w:hAnsi="Calibri" w:cs="Arial"/>
                <w:sz w:val="22"/>
                <w:szCs w:val="22"/>
              </w:rPr>
              <w:t>cyclophosphamide</w:t>
            </w:r>
            <w:proofErr w:type="spellEnd"/>
            <w:r w:rsidRPr="00C97E9E">
              <w:rPr>
                <w:rFonts w:ascii="Calibri" w:hAnsi="Calibri" w:cs="Arial"/>
                <w:sz w:val="22"/>
                <w:szCs w:val="22"/>
              </w:rPr>
              <w:t xml:space="preserve"> regimen, for the treatment of adult patients with severe, active </w:t>
            </w:r>
            <w:proofErr w:type="spellStart"/>
            <w:r w:rsidRPr="00C97E9E">
              <w:rPr>
                <w:rFonts w:ascii="Calibri" w:hAnsi="Calibri" w:cs="Arial"/>
                <w:sz w:val="22"/>
                <w:szCs w:val="22"/>
              </w:rPr>
              <w:t>granulomatosis</w:t>
            </w:r>
            <w:proofErr w:type="spellEnd"/>
            <w:r w:rsidRPr="00C97E9E">
              <w:rPr>
                <w:rFonts w:ascii="Calibri" w:hAnsi="Calibri" w:cs="Arial"/>
                <w:sz w:val="22"/>
                <w:szCs w:val="22"/>
              </w:rPr>
              <w:t xml:space="preserve"> with </w:t>
            </w:r>
            <w:proofErr w:type="spellStart"/>
            <w:r w:rsidRPr="00C97E9E">
              <w:rPr>
                <w:rFonts w:ascii="Calibri" w:hAnsi="Calibri" w:cs="Arial"/>
                <w:sz w:val="22"/>
                <w:szCs w:val="22"/>
              </w:rPr>
              <w:t>polyangiitis</w:t>
            </w:r>
            <w:proofErr w:type="spellEnd"/>
            <w:r w:rsidRPr="00C97E9E">
              <w:rPr>
                <w:rFonts w:ascii="Calibri" w:hAnsi="Calibri" w:cs="Arial"/>
                <w:sz w:val="22"/>
                <w:szCs w:val="22"/>
              </w:rPr>
              <w:t xml:space="preserve"> (GPA) or microscopic </w:t>
            </w:r>
            <w:proofErr w:type="spellStart"/>
            <w:r w:rsidRPr="00C97E9E">
              <w:rPr>
                <w:rFonts w:ascii="Calibri" w:hAnsi="Calibri" w:cs="Arial"/>
                <w:sz w:val="22"/>
                <w:szCs w:val="22"/>
              </w:rPr>
              <w:t>polyangiitis</w:t>
            </w:r>
            <w:proofErr w:type="spellEnd"/>
            <w:r w:rsidRPr="00C97E9E">
              <w:rPr>
                <w:rFonts w:ascii="Calibri" w:hAnsi="Calibri" w:cs="Arial"/>
                <w:sz w:val="22"/>
                <w:szCs w:val="22"/>
              </w:rPr>
              <w:t xml:space="preserve"> (MPA)</w:t>
            </w:r>
          </w:p>
          <w:p w:rsidR="00BB203C" w:rsidRDefault="00BB203C" w:rsidP="00BB203C">
            <w:pPr>
              <w:pStyle w:val="BlockText"/>
              <w:ind w:left="360" w:right="62"/>
              <w:rPr>
                <w:rFonts w:ascii="Calibri" w:hAnsi="Calibri" w:cs="Arial"/>
                <w:sz w:val="22"/>
                <w:szCs w:val="22"/>
              </w:rPr>
            </w:pPr>
          </w:p>
          <w:p w:rsidR="00C97E9E" w:rsidRDefault="00C97E9E" w:rsidP="00C97E9E">
            <w:pPr>
              <w:pStyle w:val="BlockText"/>
              <w:numPr>
                <w:ilvl w:val="0"/>
                <w:numId w:val="12"/>
              </w:numPr>
              <w:ind w:right="6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 the context of an NHS approved patient access scheme (or a list price that is no higher than this)</w:t>
            </w:r>
          </w:p>
          <w:p w:rsidR="00C97E9E" w:rsidRDefault="00C97E9E" w:rsidP="00C97E9E">
            <w:pPr>
              <w:pStyle w:val="BlockText"/>
              <w:ind w:left="0" w:right="62"/>
              <w:rPr>
                <w:rFonts w:ascii="Calibri" w:hAnsi="Calibri" w:cs="Arial"/>
                <w:sz w:val="22"/>
                <w:szCs w:val="22"/>
              </w:rPr>
            </w:pPr>
          </w:p>
          <w:p w:rsidR="00C97E9E" w:rsidRPr="00C97E9E" w:rsidRDefault="00C97E9E" w:rsidP="00C97E9E">
            <w:pPr>
              <w:pStyle w:val="BlockText"/>
              <w:ind w:left="0" w:right="6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Our local prescribing will adhere to this.  </w:t>
            </w:r>
            <w:proofErr w:type="spellStart"/>
            <w:r w:rsidR="00BD352F">
              <w:rPr>
                <w:rFonts w:ascii="Calibri" w:hAnsi="Calibri" w:cs="Arial"/>
                <w:sz w:val="22"/>
                <w:szCs w:val="22"/>
              </w:rPr>
              <w:t>Avacopan</w:t>
            </w:r>
            <w:proofErr w:type="spellEnd"/>
            <w:r w:rsidR="00BD352F">
              <w:rPr>
                <w:rFonts w:ascii="Calibri" w:hAnsi="Calibri" w:cs="Arial"/>
                <w:sz w:val="22"/>
                <w:szCs w:val="22"/>
              </w:rPr>
              <w:t xml:space="preserve"> will only be prescribed by a Consultant working in the </w:t>
            </w:r>
            <w:proofErr w:type="spellStart"/>
            <w:r w:rsidR="00BD352F">
              <w:rPr>
                <w:rFonts w:ascii="Calibri" w:hAnsi="Calibri" w:cs="Arial"/>
                <w:sz w:val="22"/>
                <w:szCs w:val="22"/>
              </w:rPr>
              <w:t>Vasculitis</w:t>
            </w:r>
            <w:proofErr w:type="spellEnd"/>
            <w:r w:rsidR="00BD352F">
              <w:rPr>
                <w:rFonts w:ascii="Calibri" w:hAnsi="Calibri" w:cs="Arial"/>
                <w:sz w:val="22"/>
                <w:szCs w:val="22"/>
              </w:rPr>
              <w:t xml:space="preserve"> Service.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It will be our usual practice to discuss patients receiving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avacopan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in 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Vasculitis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MDT within one month of starting therapy.  We acknowledge uncertainty around the efficacy and safety of continuing therapy for more than 52 weeks.  </w:t>
            </w:r>
          </w:p>
          <w:p w:rsidR="00C97E9E" w:rsidRPr="00C97E9E" w:rsidRDefault="00C97E9E" w:rsidP="00C97E9E">
            <w:pPr>
              <w:pStyle w:val="BlockText"/>
              <w:ind w:left="0" w:right="62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F044B" w:rsidRPr="00E12BDD" w:rsidTr="00FF3183">
        <w:tc>
          <w:tcPr>
            <w:tcW w:w="2127" w:type="dxa"/>
          </w:tcPr>
          <w:p w:rsidR="005F044B" w:rsidRDefault="005F044B" w:rsidP="009E30D2">
            <w:pPr>
              <w:rPr>
                <w:rFonts w:ascii="Calibri" w:hAnsi="Calibri" w:cs="Arial"/>
                <w:b/>
              </w:rPr>
            </w:pPr>
            <w:r w:rsidRPr="00823D6C">
              <w:rPr>
                <w:rFonts w:ascii="Calibri" w:hAnsi="Calibri" w:cs="Arial"/>
                <w:b/>
              </w:rPr>
              <w:t>Dosage and administration</w:t>
            </w:r>
          </w:p>
          <w:p w:rsidR="00F27F20" w:rsidRPr="00823D6C" w:rsidRDefault="00F27F20" w:rsidP="009E30D2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683" w:type="dxa"/>
          </w:tcPr>
          <w:p w:rsidR="00E93216" w:rsidRDefault="00C97E9E" w:rsidP="00C97E9E">
            <w:pPr>
              <w:pStyle w:val="BlockText"/>
              <w:ind w:left="0" w:right="62"/>
              <w:rPr>
                <w:rFonts w:ascii="Calibri" w:hAnsi="Calibri" w:cs="Arial"/>
                <w:sz w:val="22"/>
                <w:szCs w:val="22"/>
              </w:rPr>
            </w:pPr>
            <w:r w:rsidRPr="00C97E9E">
              <w:rPr>
                <w:rFonts w:ascii="Calibri" w:hAnsi="Calibri" w:cs="Arial"/>
                <w:sz w:val="22"/>
                <w:szCs w:val="22"/>
              </w:rPr>
              <w:t>30 mg orally twice daily</w:t>
            </w:r>
          </w:p>
          <w:p w:rsidR="00E93216" w:rsidRDefault="00E93216" w:rsidP="00C97E9E">
            <w:pPr>
              <w:pStyle w:val="BlockText"/>
              <w:ind w:left="0" w:right="6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We will usuall</w:t>
            </w:r>
            <w:r w:rsidR="000B6C4E">
              <w:rPr>
                <w:rFonts w:ascii="Calibri" w:hAnsi="Calibri" w:cs="Arial"/>
                <w:sz w:val="22"/>
                <w:szCs w:val="22"/>
              </w:rPr>
              <w:t xml:space="preserve">y offer </w:t>
            </w:r>
            <w:proofErr w:type="spellStart"/>
            <w:r w:rsidR="000B6C4E">
              <w:rPr>
                <w:rFonts w:ascii="Calibri" w:hAnsi="Calibri" w:cs="Arial"/>
                <w:sz w:val="22"/>
                <w:szCs w:val="22"/>
              </w:rPr>
              <w:t>P</w:t>
            </w:r>
            <w:r w:rsidR="00BB203C">
              <w:rPr>
                <w:rFonts w:ascii="Calibri" w:hAnsi="Calibri" w:cs="Arial"/>
                <w:sz w:val="22"/>
                <w:szCs w:val="22"/>
              </w:rPr>
              <w:t>neumocyst</w:t>
            </w:r>
            <w:r w:rsidR="00BD352F">
              <w:rPr>
                <w:rFonts w:ascii="Calibri" w:hAnsi="Calibri" w:cs="Arial"/>
                <w:sz w:val="22"/>
                <w:szCs w:val="22"/>
              </w:rPr>
              <w:t>is</w:t>
            </w:r>
            <w:proofErr w:type="spellEnd"/>
            <w:r w:rsidR="00BD352F">
              <w:rPr>
                <w:rFonts w:ascii="Calibri" w:hAnsi="Calibri" w:cs="Arial"/>
                <w:sz w:val="22"/>
                <w:szCs w:val="22"/>
              </w:rPr>
              <w:t xml:space="preserve"> prophylax</w:t>
            </w:r>
            <w:r>
              <w:rPr>
                <w:rFonts w:ascii="Calibri" w:hAnsi="Calibri" w:cs="Arial"/>
                <w:sz w:val="22"/>
                <w:szCs w:val="22"/>
              </w:rPr>
              <w:t>is with co-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trimoxazole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.  </w:t>
            </w:r>
          </w:p>
          <w:p w:rsidR="00E93216" w:rsidRPr="00C97E9E" w:rsidRDefault="00E93216" w:rsidP="00C97E9E">
            <w:pPr>
              <w:pStyle w:val="BlockText"/>
              <w:ind w:left="0" w:right="62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352F" w:rsidRPr="00E12BDD" w:rsidTr="00FF3183">
        <w:tc>
          <w:tcPr>
            <w:tcW w:w="2127" w:type="dxa"/>
          </w:tcPr>
          <w:p w:rsidR="00BD352F" w:rsidRPr="00823D6C" w:rsidRDefault="00BD352F" w:rsidP="009E30D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Contraindications</w:t>
            </w:r>
          </w:p>
        </w:tc>
        <w:tc>
          <w:tcPr>
            <w:tcW w:w="7683" w:type="dxa"/>
          </w:tcPr>
          <w:p w:rsidR="00BD352F" w:rsidRDefault="00BD352F" w:rsidP="00BD352F">
            <w:pPr>
              <w:pStyle w:val="BlockText"/>
              <w:ind w:left="0" w:right="6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Initiation should be avoided if:</w:t>
            </w:r>
          </w:p>
          <w:p w:rsidR="00BD352F" w:rsidRDefault="00BD352F" w:rsidP="00BD352F">
            <w:pPr>
              <w:pStyle w:val="BlockText"/>
              <w:numPr>
                <w:ilvl w:val="0"/>
                <w:numId w:val="15"/>
              </w:numPr>
              <w:ind w:right="6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total WCC &lt; 3.5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× </w:t>
            </w:r>
            <w:r>
              <w:rPr>
                <w:rFonts w:ascii="Calibri" w:hAnsi="Calibri" w:cs="Arial"/>
                <w:sz w:val="22"/>
                <w:szCs w:val="22"/>
              </w:rPr>
              <w:t>10</w:t>
            </w:r>
            <w:r w:rsidRPr="00E93216">
              <w:rPr>
                <w:rFonts w:ascii="Calibri" w:hAnsi="Calibri" w:cs="Arial"/>
                <w:sz w:val="22"/>
                <w:szCs w:val="22"/>
                <w:vertAlign w:val="superscript"/>
              </w:rPr>
              <w:t>9</w:t>
            </w:r>
            <w:r>
              <w:rPr>
                <w:rFonts w:ascii="Calibri" w:hAnsi="Calibri" w:cs="Arial"/>
                <w:sz w:val="22"/>
                <w:szCs w:val="22"/>
              </w:rPr>
              <w:t>/L</w:t>
            </w:r>
          </w:p>
          <w:p w:rsidR="00BD352F" w:rsidRDefault="00BD352F" w:rsidP="00BD352F">
            <w:pPr>
              <w:pStyle w:val="BlockText"/>
              <w:numPr>
                <w:ilvl w:val="0"/>
                <w:numId w:val="15"/>
              </w:numPr>
              <w:ind w:right="62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neutrophils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&lt; 1.5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× </w:t>
            </w:r>
            <w:r>
              <w:rPr>
                <w:rFonts w:ascii="Calibri" w:hAnsi="Calibri" w:cs="Arial"/>
                <w:sz w:val="22"/>
                <w:szCs w:val="22"/>
              </w:rPr>
              <w:t>10</w:t>
            </w:r>
            <w:r w:rsidRPr="00E93216">
              <w:rPr>
                <w:rFonts w:ascii="Calibri" w:hAnsi="Calibri" w:cs="Arial"/>
                <w:sz w:val="22"/>
                <w:szCs w:val="22"/>
                <w:vertAlign w:val="superscript"/>
              </w:rPr>
              <w:t>9</w:t>
            </w:r>
            <w:r>
              <w:rPr>
                <w:rFonts w:ascii="Calibri" w:hAnsi="Calibri" w:cs="Arial"/>
                <w:sz w:val="22"/>
                <w:szCs w:val="22"/>
              </w:rPr>
              <w:t>/L</w:t>
            </w:r>
          </w:p>
          <w:p w:rsidR="00BD352F" w:rsidRDefault="00BD352F" w:rsidP="00BD352F">
            <w:pPr>
              <w:pStyle w:val="BlockText"/>
              <w:numPr>
                <w:ilvl w:val="0"/>
                <w:numId w:val="15"/>
              </w:numPr>
              <w:ind w:right="6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lymphocytes &lt; 0.5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× </w:t>
            </w:r>
            <w:r>
              <w:rPr>
                <w:rFonts w:ascii="Calibri" w:hAnsi="Calibri" w:cs="Arial"/>
                <w:sz w:val="22"/>
                <w:szCs w:val="22"/>
              </w:rPr>
              <w:t>10</w:t>
            </w:r>
            <w:r w:rsidRPr="00E93216">
              <w:rPr>
                <w:rFonts w:ascii="Calibri" w:hAnsi="Calibri" w:cs="Arial"/>
                <w:sz w:val="22"/>
                <w:szCs w:val="22"/>
                <w:vertAlign w:val="superscript"/>
              </w:rPr>
              <w:t>9</w:t>
            </w:r>
            <w:r>
              <w:rPr>
                <w:rFonts w:ascii="Calibri" w:hAnsi="Calibri" w:cs="Arial"/>
                <w:sz w:val="22"/>
                <w:szCs w:val="22"/>
              </w:rPr>
              <w:t>/L</w:t>
            </w:r>
          </w:p>
          <w:p w:rsidR="00BD352F" w:rsidRDefault="00BD352F" w:rsidP="00BD352F">
            <w:pPr>
              <w:pStyle w:val="BlockText"/>
              <w:numPr>
                <w:ilvl w:val="0"/>
                <w:numId w:val="15"/>
              </w:numPr>
              <w:ind w:right="6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liver disease</w:t>
            </w:r>
          </w:p>
          <w:p w:rsidR="00BD352F" w:rsidRDefault="00BD352F" w:rsidP="00BD352F">
            <w:pPr>
              <w:pStyle w:val="BlockText"/>
              <w:ind w:left="0" w:right="62"/>
              <w:rPr>
                <w:rFonts w:ascii="Calibri" w:hAnsi="Calibri" w:cs="Arial"/>
                <w:sz w:val="22"/>
                <w:szCs w:val="22"/>
              </w:rPr>
            </w:pPr>
          </w:p>
          <w:p w:rsidR="00BD352F" w:rsidRDefault="00BD352F" w:rsidP="00BD352F">
            <w:pPr>
              <w:pStyle w:val="BlockText"/>
              <w:ind w:left="0" w:right="6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Contra-indicated in pregnancy and breastfeeding.  </w:t>
            </w:r>
          </w:p>
          <w:p w:rsidR="00BD352F" w:rsidRDefault="00BD352F" w:rsidP="00BD352F">
            <w:pPr>
              <w:pStyle w:val="BlockText"/>
              <w:ind w:left="0" w:right="6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Caution if history of blood-borne viruses or TB.  </w:t>
            </w:r>
          </w:p>
          <w:p w:rsidR="00BD352F" w:rsidRPr="00C97E9E" w:rsidRDefault="00BD352F" w:rsidP="00C97E9E">
            <w:pPr>
              <w:pStyle w:val="BlockText"/>
              <w:ind w:left="0" w:right="62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F044B" w:rsidRPr="00E12BDD" w:rsidTr="00FF3183">
        <w:trPr>
          <w:trHeight w:val="383"/>
        </w:trPr>
        <w:tc>
          <w:tcPr>
            <w:tcW w:w="2127" w:type="dxa"/>
          </w:tcPr>
          <w:p w:rsidR="004427A4" w:rsidRDefault="004427A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Monitoring</w:t>
            </w:r>
          </w:p>
          <w:p w:rsidR="005F044B" w:rsidRPr="00823D6C" w:rsidRDefault="005F044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683" w:type="dxa"/>
          </w:tcPr>
          <w:p w:rsidR="00BD352F" w:rsidRDefault="000B6C4E" w:rsidP="00E93216">
            <w:pPr>
              <w:pStyle w:val="BlockText"/>
              <w:ind w:left="0" w:right="6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We</w:t>
            </w:r>
            <w:r w:rsidR="00BD352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97E9E" w:rsidRPr="00C97E9E">
              <w:rPr>
                <w:rFonts w:ascii="Calibri" w:hAnsi="Calibri" w:cs="Arial"/>
                <w:sz w:val="22"/>
                <w:szCs w:val="22"/>
              </w:rPr>
              <w:t xml:space="preserve">will obtain FBC and LFTs at </w:t>
            </w:r>
            <w:r w:rsidR="00E93216">
              <w:rPr>
                <w:rFonts w:ascii="Calibri" w:hAnsi="Calibri" w:cs="Arial"/>
                <w:sz w:val="22"/>
                <w:szCs w:val="22"/>
              </w:rPr>
              <w:t xml:space="preserve">baseline and at </w:t>
            </w:r>
            <w:r w:rsidR="00BB203C">
              <w:rPr>
                <w:rFonts w:ascii="Calibri" w:hAnsi="Calibri" w:cs="Arial"/>
                <w:sz w:val="22"/>
                <w:szCs w:val="22"/>
              </w:rPr>
              <w:t xml:space="preserve">around </w:t>
            </w:r>
            <w:r w:rsidR="00C97E9E" w:rsidRPr="00C97E9E">
              <w:rPr>
                <w:rFonts w:ascii="Calibri" w:hAnsi="Calibri" w:cs="Arial"/>
                <w:sz w:val="22"/>
                <w:szCs w:val="22"/>
              </w:rPr>
              <w:t xml:space="preserve">weeks </w:t>
            </w:r>
            <w:r w:rsidR="00BB203C">
              <w:rPr>
                <w:rFonts w:ascii="Calibri" w:hAnsi="Calibri" w:cs="Arial"/>
                <w:sz w:val="22"/>
                <w:szCs w:val="22"/>
              </w:rPr>
              <w:t xml:space="preserve">2, 4, 8 and 12 of treatment with </w:t>
            </w:r>
            <w:r w:rsidR="00C97E9E" w:rsidRPr="00C97E9E">
              <w:rPr>
                <w:rFonts w:ascii="Calibri" w:hAnsi="Calibri" w:cs="Arial"/>
                <w:sz w:val="22"/>
                <w:szCs w:val="22"/>
              </w:rPr>
              <w:t xml:space="preserve">reduced frequency thereafter if </w:t>
            </w:r>
            <w:r w:rsidR="00BD352F">
              <w:rPr>
                <w:rFonts w:ascii="Calibri" w:hAnsi="Calibri" w:cs="Arial"/>
                <w:sz w:val="22"/>
                <w:szCs w:val="22"/>
              </w:rPr>
              <w:t>thes</w:t>
            </w:r>
            <w:r w:rsidR="00E93216">
              <w:rPr>
                <w:rFonts w:ascii="Calibri" w:hAnsi="Calibri" w:cs="Arial"/>
                <w:sz w:val="22"/>
                <w:szCs w:val="22"/>
              </w:rPr>
              <w:t xml:space="preserve">e parameters are </w:t>
            </w:r>
            <w:r w:rsidR="00C97E9E" w:rsidRPr="00C97E9E">
              <w:rPr>
                <w:rFonts w:ascii="Calibri" w:hAnsi="Calibri" w:cs="Arial"/>
                <w:sz w:val="22"/>
                <w:szCs w:val="22"/>
              </w:rPr>
              <w:t xml:space="preserve">stable.  </w:t>
            </w:r>
          </w:p>
          <w:p w:rsidR="00E93216" w:rsidRPr="00BB5A19" w:rsidRDefault="00E93216" w:rsidP="00E93216">
            <w:pPr>
              <w:pStyle w:val="BlockText"/>
              <w:ind w:left="0" w:right="62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C42D0" w:rsidRPr="00E12BDD" w:rsidTr="00FF3183">
        <w:tc>
          <w:tcPr>
            <w:tcW w:w="2127" w:type="dxa"/>
          </w:tcPr>
          <w:p w:rsidR="00BC42D0" w:rsidRDefault="00D7277C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Side Effects</w:t>
            </w:r>
          </w:p>
          <w:p w:rsidR="00F27F20" w:rsidRDefault="00F27F2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683" w:type="dxa"/>
          </w:tcPr>
          <w:p w:rsidR="000B6C4E" w:rsidRDefault="000B6C4E" w:rsidP="000B6C4E">
            <w:pPr>
              <w:ind w:right="62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Include (see medicines.org.uk for a full list):</w:t>
            </w:r>
          </w:p>
          <w:p w:rsidR="00C97E9E" w:rsidRPr="00C97E9E" w:rsidRDefault="00C97E9E" w:rsidP="000B6C4E">
            <w:pPr>
              <w:pStyle w:val="BlockText"/>
              <w:numPr>
                <w:ilvl w:val="0"/>
                <w:numId w:val="17"/>
              </w:numPr>
              <w:ind w:left="720" w:right="62"/>
              <w:rPr>
                <w:rFonts w:ascii="Calibri" w:hAnsi="Calibri" w:cs="Arial"/>
                <w:sz w:val="22"/>
                <w:szCs w:val="22"/>
              </w:rPr>
            </w:pPr>
            <w:r w:rsidRPr="00C97E9E">
              <w:rPr>
                <w:rFonts w:ascii="Calibri" w:hAnsi="Calibri" w:cs="Arial"/>
                <w:sz w:val="22"/>
                <w:szCs w:val="22"/>
              </w:rPr>
              <w:t>headache</w:t>
            </w:r>
            <w:r w:rsidR="00E93216">
              <w:rPr>
                <w:rFonts w:ascii="Calibri" w:hAnsi="Calibri" w:cs="Arial"/>
                <w:sz w:val="22"/>
                <w:szCs w:val="22"/>
              </w:rPr>
              <w:t>, nausea, diarrhoea or vomiting</w:t>
            </w:r>
          </w:p>
          <w:p w:rsidR="00C97E9E" w:rsidRDefault="00E93216" w:rsidP="000B6C4E">
            <w:pPr>
              <w:pStyle w:val="BlockText"/>
              <w:numPr>
                <w:ilvl w:val="0"/>
                <w:numId w:val="14"/>
              </w:numPr>
              <w:ind w:left="720" w:right="6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abnormal LFTs</w:t>
            </w:r>
          </w:p>
          <w:p w:rsidR="00E93216" w:rsidRPr="00C97E9E" w:rsidRDefault="00E93216" w:rsidP="000B6C4E">
            <w:pPr>
              <w:pStyle w:val="BlockText"/>
              <w:numPr>
                <w:ilvl w:val="0"/>
                <w:numId w:val="14"/>
              </w:numPr>
              <w:ind w:left="720" w:right="62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leucopaenia</w:t>
            </w:r>
            <w:proofErr w:type="spellEnd"/>
          </w:p>
          <w:p w:rsidR="00C97E9E" w:rsidRPr="00C97E9E" w:rsidRDefault="00E93216" w:rsidP="000B6C4E">
            <w:pPr>
              <w:pStyle w:val="BlockText"/>
              <w:numPr>
                <w:ilvl w:val="0"/>
                <w:numId w:val="14"/>
              </w:numPr>
              <w:ind w:left="720" w:right="6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shortness of breath</w:t>
            </w:r>
          </w:p>
          <w:p w:rsidR="000B6C4E" w:rsidRPr="000B6C4E" w:rsidRDefault="00E93216" w:rsidP="000B6C4E">
            <w:pPr>
              <w:pStyle w:val="BlockText"/>
              <w:numPr>
                <w:ilvl w:val="0"/>
                <w:numId w:val="14"/>
              </w:numPr>
              <w:ind w:left="720" w:right="6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susceptibility to infection</w:t>
            </w:r>
          </w:p>
          <w:p w:rsidR="00F76C53" w:rsidRPr="00BB5A19" w:rsidRDefault="00F76C53" w:rsidP="00C97E9E">
            <w:pPr>
              <w:pStyle w:val="BlockText"/>
              <w:ind w:left="0" w:right="62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2729B" w:rsidRPr="00E12BDD" w:rsidTr="00FF3183">
        <w:tc>
          <w:tcPr>
            <w:tcW w:w="2127" w:type="dxa"/>
          </w:tcPr>
          <w:p w:rsidR="0022729B" w:rsidRDefault="0022729B" w:rsidP="000B6C4E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Patient Counselling</w:t>
            </w:r>
          </w:p>
        </w:tc>
        <w:tc>
          <w:tcPr>
            <w:tcW w:w="7683" w:type="dxa"/>
          </w:tcPr>
          <w:p w:rsidR="000B6C4E" w:rsidRDefault="00C97E9E" w:rsidP="0022729B">
            <w:pPr>
              <w:pStyle w:val="BlockText"/>
              <w:ind w:left="0" w:right="6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As per </w:t>
            </w:r>
            <w:r w:rsidR="00BD352F">
              <w:rPr>
                <w:rFonts w:ascii="Calibri" w:hAnsi="Calibri" w:cs="Arial"/>
                <w:sz w:val="22"/>
                <w:szCs w:val="22"/>
              </w:rPr>
              <w:t xml:space="preserve">our local </w:t>
            </w:r>
            <w:r>
              <w:rPr>
                <w:rFonts w:ascii="Calibri" w:hAnsi="Calibri" w:cs="Arial"/>
                <w:sz w:val="22"/>
                <w:szCs w:val="22"/>
              </w:rPr>
              <w:t>Patient Information sheet</w:t>
            </w:r>
            <w:r w:rsidR="000B6C4E">
              <w:rPr>
                <w:rFonts w:ascii="Calibri" w:hAnsi="Calibri" w:cs="Arial"/>
                <w:sz w:val="22"/>
                <w:szCs w:val="22"/>
              </w:rPr>
              <w:t xml:space="preserve">.  </w:t>
            </w:r>
          </w:p>
          <w:p w:rsidR="0022729B" w:rsidRPr="00BB5A19" w:rsidRDefault="000B6C4E" w:rsidP="000B6C4E">
            <w:pPr>
              <w:pStyle w:val="BlockText"/>
              <w:ind w:left="0" w:right="62"/>
              <w:rPr>
                <w:rFonts w:ascii="Calibri" w:hAnsi="Calibri" w:cs="Arial"/>
                <w:sz w:val="22"/>
                <w:szCs w:val="22"/>
              </w:rPr>
            </w:pPr>
            <w:hyperlink r:id="rId8" w:history="1">
              <w:r w:rsidRPr="003F59BB">
                <w:rPr>
                  <w:rStyle w:val="Hyperlink"/>
                  <w:rFonts w:ascii="Calibri" w:hAnsi="Calibri" w:cs="Arial"/>
                  <w:sz w:val="22"/>
                  <w:szCs w:val="22"/>
                </w:rPr>
                <w:t>edren.org/ren/handbook/prescribing-handbook/patient-information-leaflets/</w:t>
              </w:r>
            </w:hyperlink>
          </w:p>
        </w:tc>
      </w:tr>
    </w:tbl>
    <w:p w:rsidR="000B6C4E" w:rsidRDefault="000B6C4E">
      <w:r>
        <w:br w:type="page"/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7683"/>
      </w:tblGrid>
      <w:tr w:rsidR="00082BBD" w:rsidRPr="008D568E" w:rsidTr="00FF318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BD" w:rsidRDefault="004427A4" w:rsidP="009E30D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Drug Interactions</w:t>
            </w:r>
          </w:p>
          <w:p w:rsidR="00F27F20" w:rsidRPr="00082BBD" w:rsidRDefault="00F27F20" w:rsidP="009E30D2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4E" w:rsidRDefault="000B6C4E" w:rsidP="00722C63">
            <w:pPr>
              <w:ind w:right="62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Include (see medicines.org.uk for a full list)</w:t>
            </w:r>
            <w:r w:rsidR="00E93216"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E93216" w:rsidRDefault="00E93216" w:rsidP="00E93216">
            <w:pPr>
              <w:pStyle w:val="ListParagraph"/>
              <w:numPr>
                <w:ilvl w:val="0"/>
                <w:numId w:val="16"/>
              </w:numPr>
              <w:ind w:right="62"/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lastRenderedPageBreak/>
              <w:t>antivirals</w:t>
            </w:r>
            <w:proofErr w:type="spellEnd"/>
          </w:p>
          <w:p w:rsidR="00E63E78" w:rsidRDefault="00E63E78" w:rsidP="00E93216">
            <w:pPr>
              <w:pStyle w:val="ListParagraph"/>
              <w:numPr>
                <w:ilvl w:val="0"/>
                <w:numId w:val="16"/>
              </w:numPr>
              <w:ind w:right="62"/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antifungals</w:t>
            </w:r>
            <w:proofErr w:type="spellEnd"/>
          </w:p>
          <w:p w:rsidR="00E93216" w:rsidRDefault="00E93216" w:rsidP="00E93216">
            <w:pPr>
              <w:pStyle w:val="ListParagraph"/>
              <w:numPr>
                <w:ilvl w:val="0"/>
                <w:numId w:val="16"/>
              </w:numPr>
              <w:ind w:right="62"/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carbemazepine</w:t>
            </w:r>
            <w:proofErr w:type="spellEnd"/>
          </w:p>
          <w:p w:rsidR="00E93216" w:rsidRDefault="00E93216" w:rsidP="00E93216">
            <w:pPr>
              <w:pStyle w:val="ListParagraph"/>
              <w:numPr>
                <w:ilvl w:val="0"/>
                <w:numId w:val="16"/>
              </w:numPr>
              <w:ind w:right="62"/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clarithromycin</w:t>
            </w:r>
            <w:proofErr w:type="spellEnd"/>
          </w:p>
          <w:p w:rsidR="00E93216" w:rsidRDefault="00E63E78" w:rsidP="00E93216">
            <w:pPr>
              <w:pStyle w:val="ListParagraph"/>
              <w:numPr>
                <w:ilvl w:val="0"/>
                <w:numId w:val="16"/>
              </w:numPr>
              <w:ind w:right="62"/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phenytoin</w:t>
            </w:r>
            <w:proofErr w:type="spellEnd"/>
          </w:p>
          <w:p w:rsidR="00BD352F" w:rsidRPr="000B6C4E" w:rsidRDefault="00E63E78" w:rsidP="00BD352F">
            <w:pPr>
              <w:pStyle w:val="ListParagraph"/>
              <w:numPr>
                <w:ilvl w:val="0"/>
                <w:numId w:val="16"/>
              </w:numPr>
              <w:ind w:right="62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St. John’s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Wort</w:t>
            </w:r>
            <w:proofErr w:type="spellEnd"/>
          </w:p>
          <w:p w:rsidR="000B6C4E" w:rsidRPr="00BD352F" w:rsidRDefault="000B6C4E" w:rsidP="00BD352F">
            <w:pPr>
              <w:ind w:right="6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352F" w:rsidRPr="008D568E" w:rsidTr="00FF318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2F" w:rsidRDefault="00BD352F" w:rsidP="009E30D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Homecare scheme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2F" w:rsidRDefault="00BD352F" w:rsidP="00BD352F">
            <w:pPr>
              <w:ind w:right="62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The responsible Consultant will provide prescriptions for the first 12 weeks of therapy; thereafter we will usually switch to the renal homecare scheme.  The Consultant retains responsibility for </w:t>
            </w:r>
            <w:r w:rsidR="000B6C4E">
              <w:rPr>
                <w:rFonts w:ascii="Calibri" w:hAnsi="Calibri" w:cs="Arial"/>
                <w:sz w:val="22"/>
                <w:szCs w:val="22"/>
              </w:rPr>
              <w:t xml:space="preserve">prescribing, </w:t>
            </w:r>
            <w:r>
              <w:rPr>
                <w:rFonts w:ascii="Calibri" w:hAnsi="Calibri" w:cs="Arial"/>
                <w:sz w:val="22"/>
                <w:szCs w:val="22"/>
              </w:rPr>
              <w:t xml:space="preserve">arranging and reviewing monitoring blood tests for the duration of therapy.  </w:t>
            </w:r>
          </w:p>
          <w:p w:rsidR="00BD352F" w:rsidRDefault="00BD352F" w:rsidP="00BD352F">
            <w:pPr>
              <w:ind w:right="6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F044B" w:rsidRPr="0035107A" w:rsidRDefault="005F044B">
      <w:pPr>
        <w:rPr>
          <w:rFonts w:ascii="Calibri" w:hAnsi="Calibri" w:cs="Arial"/>
          <w:sz w:val="28"/>
          <w:szCs w:val="28"/>
        </w:rPr>
      </w:pPr>
    </w:p>
    <w:sectPr w:rsidR="005F044B" w:rsidRPr="0035107A" w:rsidSect="00F27F2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E78" w:rsidRDefault="00E63E78">
      <w:r>
        <w:separator/>
      </w:r>
    </w:p>
  </w:endnote>
  <w:endnote w:type="continuationSeparator" w:id="0">
    <w:p w:rsidR="00E63E78" w:rsidRDefault="00E63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E78" w:rsidRPr="000B6C4E" w:rsidRDefault="00E63E78" w:rsidP="003141D2">
    <w:pPr>
      <w:pStyle w:val="Footer"/>
      <w:jc w:val="right"/>
      <w:rPr>
        <w:rFonts w:ascii="Calibri" w:hAnsi="Calibri"/>
        <w:i/>
        <w:sz w:val="20"/>
        <w:szCs w:val="20"/>
      </w:rPr>
    </w:pPr>
    <w:r w:rsidRPr="00186DAC">
      <w:rPr>
        <w:rFonts w:ascii="Calibri" w:hAnsi="Calibri"/>
        <w:b/>
        <w:i/>
        <w:sz w:val="20"/>
        <w:szCs w:val="20"/>
      </w:rPr>
      <w:t xml:space="preserve">Written by: </w:t>
    </w:r>
    <w:proofErr w:type="spellStart"/>
    <w:r w:rsidR="000B6C4E" w:rsidRPr="000B6C4E">
      <w:rPr>
        <w:rFonts w:ascii="Calibri" w:hAnsi="Calibri"/>
        <w:i/>
        <w:sz w:val="20"/>
        <w:szCs w:val="20"/>
      </w:rPr>
      <w:t>Bita</w:t>
    </w:r>
    <w:proofErr w:type="spellEnd"/>
    <w:r w:rsidR="000B6C4E" w:rsidRPr="000B6C4E">
      <w:rPr>
        <w:rFonts w:ascii="Calibri" w:hAnsi="Calibri"/>
        <w:i/>
        <w:sz w:val="20"/>
        <w:szCs w:val="20"/>
      </w:rPr>
      <w:t xml:space="preserve"> Ward (Pharmacist), Robert Hunter (Renal Consultant)</w:t>
    </w:r>
  </w:p>
  <w:p w:rsidR="00E63E78" w:rsidRDefault="00E63E78" w:rsidP="003141D2">
    <w:pPr>
      <w:pStyle w:val="Footer"/>
      <w:jc w:val="right"/>
      <w:rPr>
        <w:rFonts w:ascii="Calibri" w:hAnsi="Calibri"/>
        <w:i/>
        <w:sz w:val="20"/>
        <w:szCs w:val="20"/>
      </w:rPr>
    </w:pPr>
    <w:r w:rsidRPr="00186DAC">
      <w:rPr>
        <w:rFonts w:ascii="Calibri" w:hAnsi="Calibri"/>
        <w:b/>
        <w:i/>
        <w:sz w:val="20"/>
        <w:szCs w:val="20"/>
      </w:rPr>
      <w:t>Reviewed by:</w:t>
    </w:r>
    <w:r>
      <w:rPr>
        <w:rFonts w:ascii="Calibri" w:hAnsi="Calibri"/>
        <w:i/>
        <w:sz w:val="20"/>
        <w:szCs w:val="20"/>
      </w:rPr>
      <w:t xml:space="preserve"> </w:t>
    </w:r>
    <w:r w:rsidR="000B6C4E">
      <w:rPr>
        <w:rFonts w:ascii="Calibri" w:hAnsi="Calibri"/>
        <w:i/>
        <w:sz w:val="20"/>
        <w:szCs w:val="20"/>
      </w:rPr>
      <w:t xml:space="preserve">Maggie Davidson &amp; Sarah </w:t>
    </w:r>
    <w:proofErr w:type="spellStart"/>
    <w:r w:rsidR="000B6C4E">
      <w:rPr>
        <w:rFonts w:ascii="Calibri" w:hAnsi="Calibri"/>
        <w:i/>
        <w:sz w:val="20"/>
        <w:szCs w:val="20"/>
      </w:rPr>
      <w:t>MacInnes</w:t>
    </w:r>
    <w:proofErr w:type="spellEnd"/>
    <w:r w:rsidR="000B6C4E">
      <w:rPr>
        <w:rFonts w:ascii="Calibri" w:hAnsi="Calibri"/>
        <w:i/>
        <w:sz w:val="20"/>
        <w:szCs w:val="20"/>
      </w:rPr>
      <w:t xml:space="preserve"> (Pharmacists), </w:t>
    </w:r>
    <w:proofErr w:type="spellStart"/>
    <w:r w:rsidR="000B6C4E">
      <w:rPr>
        <w:rFonts w:ascii="Calibri" w:hAnsi="Calibri"/>
        <w:i/>
        <w:sz w:val="20"/>
        <w:szCs w:val="20"/>
      </w:rPr>
      <w:t>Neeraj</w:t>
    </w:r>
    <w:proofErr w:type="spellEnd"/>
    <w:r w:rsidR="000B6C4E">
      <w:rPr>
        <w:rFonts w:ascii="Calibri" w:hAnsi="Calibri"/>
        <w:i/>
        <w:sz w:val="20"/>
        <w:szCs w:val="20"/>
      </w:rPr>
      <w:t xml:space="preserve"> </w:t>
    </w:r>
    <w:proofErr w:type="spellStart"/>
    <w:r w:rsidR="000B6C4E">
      <w:rPr>
        <w:rFonts w:ascii="Calibri" w:hAnsi="Calibri"/>
        <w:i/>
        <w:sz w:val="20"/>
        <w:szCs w:val="20"/>
      </w:rPr>
      <w:t>Dhaun</w:t>
    </w:r>
    <w:proofErr w:type="spellEnd"/>
    <w:r w:rsidR="000B6C4E">
      <w:rPr>
        <w:rFonts w:ascii="Calibri" w:hAnsi="Calibri"/>
        <w:i/>
        <w:sz w:val="20"/>
        <w:szCs w:val="20"/>
      </w:rPr>
      <w:t xml:space="preserve"> &amp; Tariq </w:t>
    </w:r>
    <w:proofErr w:type="spellStart"/>
    <w:r w:rsidR="000B6C4E">
      <w:rPr>
        <w:rFonts w:ascii="Calibri" w:hAnsi="Calibri"/>
        <w:i/>
        <w:sz w:val="20"/>
        <w:szCs w:val="20"/>
      </w:rPr>
      <w:t>Farrah</w:t>
    </w:r>
    <w:proofErr w:type="spellEnd"/>
    <w:r w:rsidR="000B6C4E">
      <w:rPr>
        <w:rFonts w:ascii="Calibri" w:hAnsi="Calibri"/>
        <w:i/>
        <w:sz w:val="20"/>
        <w:szCs w:val="20"/>
      </w:rPr>
      <w:t xml:space="preserve"> (Renal Consultants)</w:t>
    </w:r>
  </w:p>
  <w:p w:rsidR="00E63E78" w:rsidRPr="003141D2" w:rsidRDefault="00E63E78" w:rsidP="003141D2">
    <w:pPr>
      <w:pStyle w:val="Footer"/>
      <w:jc w:val="right"/>
      <w:rPr>
        <w:rFonts w:ascii="Calibri" w:hAnsi="Calibri"/>
        <w:i/>
        <w:sz w:val="20"/>
        <w:szCs w:val="20"/>
      </w:rPr>
    </w:pPr>
    <w:r w:rsidRPr="00186DAC">
      <w:rPr>
        <w:rFonts w:ascii="Calibri" w:hAnsi="Calibri"/>
        <w:b/>
        <w:i/>
        <w:sz w:val="20"/>
        <w:szCs w:val="20"/>
      </w:rPr>
      <w:t>Date written:</w:t>
    </w:r>
    <w:r>
      <w:rPr>
        <w:rFonts w:ascii="Calibri" w:hAnsi="Calibri"/>
        <w:i/>
        <w:sz w:val="20"/>
        <w:szCs w:val="20"/>
      </w:rPr>
      <w:t xml:space="preserve"> </w:t>
    </w:r>
    <w:r w:rsidR="000B6C4E">
      <w:rPr>
        <w:rFonts w:ascii="Calibri" w:hAnsi="Calibri"/>
        <w:i/>
        <w:sz w:val="20"/>
        <w:szCs w:val="20"/>
      </w:rPr>
      <w:t>May 2025</w:t>
    </w:r>
  </w:p>
  <w:p w:rsidR="00E63E78" w:rsidRDefault="00E63E78" w:rsidP="003141D2">
    <w:pPr>
      <w:pStyle w:val="Footer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b/>
        <w:i/>
        <w:sz w:val="20"/>
        <w:szCs w:val="20"/>
      </w:rPr>
      <w:t>Next Review Due</w:t>
    </w:r>
    <w:r w:rsidRPr="00186DAC">
      <w:rPr>
        <w:rFonts w:ascii="Calibri" w:hAnsi="Calibri"/>
        <w:b/>
        <w:i/>
        <w:sz w:val="20"/>
        <w:szCs w:val="20"/>
      </w:rPr>
      <w:t>:</w:t>
    </w:r>
    <w:r>
      <w:rPr>
        <w:rFonts w:ascii="Calibri" w:hAnsi="Calibri"/>
        <w:i/>
        <w:sz w:val="20"/>
        <w:szCs w:val="20"/>
      </w:rPr>
      <w:t xml:space="preserve"> </w:t>
    </w:r>
    <w:r w:rsidR="000B6C4E">
      <w:rPr>
        <w:rFonts w:ascii="Calibri" w:hAnsi="Calibri"/>
        <w:i/>
        <w:sz w:val="20"/>
        <w:szCs w:val="20"/>
      </w:rPr>
      <w:t>May 2028</w:t>
    </w:r>
  </w:p>
  <w:p w:rsidR="00E63E78" w:rsidRDefault="00E63E78" w:rsidP="003141D2">
    <w:pPr>
      <w:pStyle w:val="Footer"/>
      <w:jc w:val="right"/>
      <w:rPr>
        <w:rFonts w:ascii="Calibri" w:hAnsi="Calibri"/>
        <w:i/>
        <w:sz w:val="16"/>
        <w:szCs w:val="20"/>
      </w:rPr>
    </w:pPr>
  </w:p>
  <w:p w:rsidR="00E63E78" w:rsidRPr="0090740F" w:rsidRDefault="00E63E78" w:rsidP="0090740F">
    <w:pPr>
      <w:pStyle w:val="Footer"/>
      <w:jc w:val="right"/>
      <w:rPr>
        <w:rFonts w:ascii="Calibri" w:hAnsi="Calibri"/>
        <w:b/>
        <w:i/>
        <w:sz w:val="20"/>
        <w:szCs w:val="20"/>
      </w:rPr>
    </w:pPr>
    <w:r w:rsidRPr="0090740F">
      <w:rPr>
        <w:rFonts w:ascii="Calibri" w:hAnsi="Calibri"/>
        <w:b/>
        <w:i/>
        <w:sz w:val="20"/>
        <w:szCs w:val="20"/>
      </w:rPr>
      <w:t xml:space="preserve">page </w:t>
    </w:r>
    <w:r w:rsidR="00E24DA5" w:rsidRPr="0090740F">
      <w:rPr>
        <w:rFonts w:ascii="Calibri" w:hAnsi="Calibri"/>
        <w:b/>
        <w:i/>
        <w:sz w:val="20"/>
        <w:szCs w:val="20"/>
      </w:rPr>
      <w:fldChar w:fldCharType="begin"/>
    </w:r>
    <w:r w:rsidRPr="0090740F">
      <w:rPr>
        <w:rFonts w:ascii="Calibri" w:hAnsi="Calibri"/>
        <w:b/>
        <w:i/>
        <w:sz w:val="20"/>
        <w:szCs w:val="20"/>
      </w:rPr>
      <w:instrText xml:space="preserve"> PAGE   \* MERGEFORMAT </w:instrText>
    </w:r>
    <w:r w:rsidR="00E24DA5" w:rsidRPr="0090740F">
      <w:rPr>
        <w:rFonts w:ascii="Calibri" w:hAnsi="Calibri"/>
        <w:b/>
        <w:i/>
        <w:sz w:val="20"/>
        <w:szCs w:val="20"/>
      </w:rPr>
      <w:fldChar w:fldCharType="separate"/>
    </w:r>
    <w:r w:rsidR="000B6C4E">
      <w:rPr>
        <w:rFonts w:ascii="Calibri" w:hAnsi="Calibri"/>
        <w:b/>
        <w:i/>
        <w:noProof/>
        <w:sz w:val="20"/>
        <w:szCs w:val="20"/>
      </w:rPr>
      <w:t>2</w:t>
    </w:r>
    <w:r w:rsidR="00E24DA5" w:rsidRPr="0090740F">
      <w:rPr>
        <w:rFonts w:ascii="Calibri" w:hAnsi="Calibri"/>
        <w:b/>
        <w:i/>
        <w:sz w:val="20"/>
        <w:szCs w:val="20"/>
      </w:rPr>
      <w:fldChar w:fldCharType="end"/>
    </w:r>
    <w:r w:rsidRPr="0090740F">
      <w:rPr>
        <w:rFonts w:ascii="Calibri" w:hAnsi="Calibri"/>
        <w:b/>
        <w:i/>
        <w:sz w:val="20"/>
        <w:szCs w:val="20"/>
      </w:rPr>
      <w:t xml:space="preserve"> of </w:t>
    </w:r>
    <w:fldSimple w:instr=" NUMPAGES  \* Arabic  \* MERGEFORMAT ">
      <w:r w:rsidR="000B6C4E" w:rsidRPr="000B6C4E">
        <w:rPr>
          <w:rFonts w:ascii="Calibri" w:hAnsi="Calibri"/>
          <w:b/>
          <w:i/>
          <w:noProof/>
          <w:sz w:val="20"/>
          <w:szCs w:val="20"/>
        </w:rPr>
        <w:t>2</w:t>
      </w:r>
    </w:fldSimple>
  </w:p>
  <w:p w:rsidR="00E63E78" w:rsidRPr="003141D2" w:rsidRDefault="00E63E78" w:rsidP="003141D2">
    <w:pPr>
      <w:pStyle w:val="Footer"/>
      <w:jc w:val="right"/>
      <w:rPr>
        <w:rFonts w:ascii="Calibri" w:hAnsi="Calibri"/>
        <w:i/>
        <w:sz w:val="16"/>
        <w:szCs w:val="20"/>
      </w:rPr>
    </w:pPr>
  </w:p>
  <w:p w:rsidR="00E63E78" w:rsidRPr="003141D2" w:rsidRDefault="00E63E78" w:rsidP="003141D2">
    <w:pPr>
      <w:pStyle w:val="Footer"/>
      <w:jc w:val="right"/>
      <w:rPr>
        <w:rFonts w:ascii="Calibri" w:hAnsi="Calibri"/>
        <w:i/>
        <w:sz w:val="16"/>
        <w:szCs w:val="16"/>
      </w:rPr>
    </w:pPr>
    <w:r w:rsidRPr="003141D2">
      <w:rPr>
        <w:rFonts w:ascii="Calibri" w:hAnsi="Calibri"/>
        <w:i/>
        <w:sz w:val="16"/>
        <w:szCs w:val="16"/>
      </w:rPr>
      <w:t xml:space="preserve">This document was printed on </w:t>
    </w:r>
    <w:r w:rsidR="00E24DA5" w:rsidRPr="003141D2">
      <w:rPr>
        <w:rFonts w:ascii="Calibri" w:hAnsi="Calibri"/>
        <w:i/>
        <w:sz w:val="16"/>
        <w:szCs w:val="16"/>
      </w:rPr>
      <w:fldChar w:fldCharType="begin"/>
    </w:r>
    <w:r w:rsidRPr="003141D2">
      <w:rPr>
        <w:rFonts w:ascii="Calibri" w:hAnsi="Calibri"/>
        <w:i/>
        <w:sz w:val="16"/>
        <w:szCs w:val="16"/>
      </w:rPr>
      <w:instrText xml:space="preserve"> TIME \@ "dd MMMM yyyy" </w:instrText>
    </w:r>
    <w:r w:rsidR="00E24DA5" w:rsidRPr="003141D2">
      <w:rPr>
        <w:rFonts w:ascii="Calibri" w:hAnsi="Calibri"/>
        <w:i/>
        <w:sz w:val="16"/>
        <w:szCs w:val="16"/>
      </w:rPr>
      <w:fldChar w:fldCharType="separate"/>
    </w:r>
    <w:r w:rsidR="000B6C4E">
      <w:rPr>
        <w:rFonts w:ascii="Calibri" w:hAnsi="Calibri"/>
        <w:i/>
        <w:noProof/>
        <w:sz w:val="16"/>
        <w:szCs w:val="16"/>
      </w:rPr>
      <w:t>15 May 2024</w:t>
    </w:r>
    <w:r w:rsidR="00E24DA5" w:rsidRPr="003141D2">
      <w:rPr>
        <w:rFonts w:ascii="Calibri" w:hAnsi="Calibri"/>
        <w:i/>
        <w:sz w:val="16"/>
        <w:szCs w:val="16"/>
      </w:rPr>
      <w:fldChar w:fldCharType="end"/>
    </w:r>
    <w:r w:rsidRPr="003141D2">
      <w:rPr>
        <w:rFonts w:ascii="Calibri" w:hAnsi="Calibri"/>
        <w:i/>
        <w:sz w:val="16"/>
        <w:szCs w:val="16"/>
      </w:rPr>
      <w:t xml:space="preserve">; please check </w:t>
    </w:r>
    <w:hyperlink r:id="rId1" w:history="1">
      <w:r w:rsidRPr="003141D2">
        <w:rPr>
          <w:rStyle w:val="Hyperlink"/>
          <w:rFonts w:ascii="Calibri" w:hAnsi="Calibri"/>
          <w:i/>
          <w:sz w:val="16"/>
          <w:szCs w:val="16"/>
        </w:rPr>
        <w:t>www.edren.org</w:t>
      </w:r>
    </w:hyperlink>
    <w:r w:rsidRPr="003141D2">
      <w:rPr>
        <w:rFonts w:ascii="Calibri" w:hAnsi="Calibri"/>
        <w:i/>
        <w:sz w:val="16"/>
        <w:szCs w:val="16"/>
      </w:rPr>
      <w:t xml:space="preserve"> for most up-to-date protocol.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E78" w:rsidRDefault="00E63E78">
      <w:r>
        <w:separator/>
      </w:r>
    </w:p>
  </w:footnote>
  <w:footnote w:type="continuationSeparator" w:id="0">
    <w:p w:rsidR="00E63E78" w:rsidRDefault="00E63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288"/>
    <w:multiLevelType w:val="hybridMultilevel"/>
    <w:tmpl w:val="2216F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94E12"/>
    <w:multiLevelType w:val="hybridMultilevel"/>
    <w:tmpl w:val="8FB8F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47A6E"/>
    <w:multiLevelType w:val="hybridMultilevel"/>
    <w:tmpl w:val="3AD66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B51AA"/>
    <w:multiLevelType w:val="hybridMultilevel"/>
    <w:tmpl w:val="70108C3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324518"/>
    <w:multiLevelType w:val="hybridMultilevel"/>
    <w:tmpl w:val="EA765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C7274"/>
    <w:multiLevelType w:val="hybridMultilevel"/>
    <w:tmpl w:val="75C80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22CB1"/>
    <w:multiLevelType w:val="hybridMultilevel"/>
    <w:tmpl w:val="83A269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E02E87"/>
    <w:multiLevelType w:val="hybridMultilevel"/>
    <w:tmpl w:val="60367F36"/>
    <w:lvl w:ilvl="0" w:tplc="E01626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2808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DC44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84C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C2F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FE5C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B2EA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B44F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763D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A57068"/>
    <w:multiLevelType w:val="hybridMultilevel"/>
    <w:tmpl w:val="4B707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A34B1"/>
    <w:multiLevelType w:val="hybridMultilevel"/>
    <w:tmpl w:val="413E5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902A9"/>
    <w:multiLevelType w:val="hybridMultilevel"/>
    <w:tmpl w:val="8EB2C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608D4"/>
    <w:multiLevelType w:val="hybridMultilevel"/>
    <w:tmpl w:val="BF442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BD77D9"/>
    <w:multiLevelType w:val="hybridMultilevel"/>
    <w:tmpl w:val="0CC0A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23828"/>
    <w:multiLevelType w:val="hybridMultilevel"/>
    <w:tmpl w:val="361E7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8B50B8"/>
    <w:multiLevelType w:val="hybridMultilevel"/>
    <w:tmpl w:val="BDE8D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AD759E"/>
    <w:multiLevelType w:val="hybridMultilevel"/>
    <w:tmpl w:val="0A84C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3E6E3F"/>
    <w:multiLevelType w:val="hybridMultilevel"/>
    <w:tmpl w:val="5CBA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16"/>
  </w:num>
  <w:num w:numId="7">
    <w:abstractNumId w:val="15"/>
  </w:num>
  <w:num w:numId="8">
    <w:abstractNumId w:val="0"/>
  </w:num>
  <w:num w:numId="9">
    <w:abstractNumId w:val="12"/>
  </w:num>
  <w:num w:numId="10">
    <w:abstractNumId w:val="10"/>
  </w:num>
  <w:num w:numId="11">
    <w:abstractNumId w:val="7"/>
  </w:num>
  <w:num w:numId="12">
    <w:abstractNumId w:val="14"/>
  </w:num>
  <w:num w:numId="13">
    <w:abstractNumId w:val="8"/>
  </w:num>
  <w:num w:numId="14">
    <w:abstractNumId w:val="6"/>
  </w:num>
  <w:num w:numId="15">
    <w:abstractNumId w:val="4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35107A"/>
    <w:rsid w:val="00023D71"/>
    <w:rsid w:val="00082BBD"/>
    <w:rsid w:val="00091619"/>
    <w:rsid w:val="000B6C4E"/>
    <w:rsid w:val="000C15F1"/>
    <w:rsid w:val="000E6548"/>
    <w:rsid w:val="000E6E80"/>
    <w:rsid w:val="00160F26"/>
    <w:rsid w:val="00162578"/>
    <w:rsid w:val="00186DAC"/>
    <w:rsid w:val="00190C0E"/>
    <w:rsid w:val="001A0FE3"/>
    <w:rsid w:val="001B6582"/>
    <w:rsid w:val="001B6CA8"/>
    <w:rsid w:val="001F184C"/>
    <w:rsid w:val="00202975"/>
    <w:rsid w:val="00225B81"/>
    <w:rsid w:val="0022729B"/>
    <w:rsid w:val="00265B19"/>
    <w:rsid w:val="00286AA7"/>
    <w:rsid w:val="00293B7B"/>
    <w:rsid w:val="002A1B2B"/>
    <w:rsid w:val="002A2160"/>
    <w:rsid w:val="002D460B"/>
    <w:rsid w:val="003052D3"/>
    <w:rsid w:val="003141D2"/>
    <w:rsid w:val="003407C5"/>
    <w:rsid w:val="00342D85"/>
    <w:rsid w:val="00350B93"/>
    <w:rsid w:val="0035107A"/>
    <w:rsid w:val="0036517C"/>
    <w:rsid w:val="003A6E9E"/>
    <w:rsid w:val="003B4A19"/>
    <w:rsid w:val="003E7610"/>
    <w:rsid w:val="00427C55"/>
    <w:rsid w:val="00435BBF"/>
    <w:rsid w:val="004427A4"/>
    <w:rsid w:val="00462756"/>
    <w:rsid w:val="004E6F1D"/>
    <w:rsid w:val="005852F5"/>
    <w:rsid w:val="005A50E3"/>
    <w:rsid w:val="005B056B"/>
    <w:rsid w:val="005B6146"/>
    <w:rsid w:val="005C698A"/>
    <w:rsid w:val="005F044B"/>
    <w:rsid w:val="00615CF2"/>
    <w:rsid w:val="0062055E"/>
    <w:rsid w:val="00653258"/>
    <w:rsid w:val="00665703"/>
    <w:rsid w:val="00710221"/>
    <w:rsid w:val="00722C63"/>
    <w:rsid w:val="00743E14"/>
    <w:rsid w:val="00753EE1"/>
    <w:rsid w:val="00757560"/>
    <w:rsid w:val="007639D7"/>
    <w:rsid w:val="007A7E70"/>
    <w:rsid w:val="007E270E"/>
    <w:rsid w:val="007F1988"/>
    <w:rsid w:val="008067C9"/>
    <w:rsid w:val="008145BE"/>
    <w:rsid w:val="00823D6C"/>
    <w:rsid w:val="00837406"/>
    <w:rsid w:val="00843EEA"/>
    <w:rsid w:val="00870C3D"/>
    <w:rsid w:val="008776DE"/>
    <w:rsid w:val="008A5BA6"/>
    <w:rsid w:val="008A6538"/>
    <w:rsid w:val="008C2429"/>
    <w:rsid w:val="008C7A93"/>
    <w:rsid w:val="008C7B2E"/>
    <w:rsid w:val="008D568E"/>
    <w:rsid w:val="008E09CB"/>
    <w:rsid w:val="008F14CE"/>
    <w:rsid w:val="008F40E0"/>
    <w:rsid w:val="009007B7"/>
    <w:rsid w:val="0090740F"/>
    <w:rsid w:val="009463FF"/>
    <w:rsid w:val="00972E28"/>
    <w:rsid w:val="0098553F"/>
    <w:rsid w:val="009E3084"/>
    <w:rsid w:val="009E30D2"/>
    <w:rsid w:val="00A04FB3"/>
    <w:rsid w:val="00A05F2B"/>
    <w:rsid w:val="00A34F56"/>
    <w:rsid w:val="00A378FB"/>
    <w:rsid w:val="00A4303E"/>
    <w:rsid w:val="00A71505"/>
    <w:rsid w:val="00A741E3"/>
    <w:rsid w:val="00A85095"/>
    <w:rsid w:val="00A8712D"/>
    <w:rsid w:val="00A96A38"/>
    <w:rsid w:val="00AE3CD2"/>
    <w:rsid w:val="00B13A0F"/>
    <w:rsid w:val="00B423F3"/>
    <w:rsid w:val="00B62256"/>
    <w:rsid w:val="00B6763F"/>
    <w:rsid w:val="00B85BAC"/>
    <w:rsid w:val="00BA2823"/>
    <w:rsid w:val="00BB203C"/>
    <w:rsid w:val="00BB5A19"/>
    <w:rsid w:val="00BC42D0"/>
    <w:rsid w:val="00BD352F"/>
    <w:rsid w:val="00BF44DD"/>
    <w:rsid w:val="00BF70E6"/>
    <w:rsid w:val="00C305F6"/>
    <w:rsid w:val="00C97E9E"/>
    <w:rsid w:val="00CA1BC0"/>
    <w:rsid w:val="00CB5503"/>
    <w:rsid w:val="00CE4E83"/>
    <w:rsid w:val="00D20563"/>
    <w:rsid w:val="00D61F18"/>
    <w:rsid w:val="00D7277C"/>
    <w:rsid w:val="00DA0F7B"/>
    <w:rsid w:val="00E12BDD"/>
    <w:rsid w:val="00E24DA5"/>
    <w:rsid w:val="00E35485"/>
    <w:rsid w:val="00E5750E"/>
    <w:rsid w:val="00E6232B"/>
    <w:rsid w:val="00E63E78"/>
    <w:rsid w:val="00E93216"/>
    <w:rsid w:val="00EA5478"/>
    <w:rsid w:val="00EB1224"/>
    <w:rsid w:val="00ED237E"/>
    <w:rsid w:val="00EE45BC"/>
    <w:rsid w:val="00F01B82"/>
    <w:rsid w:val="00F15572"/>
    <w:rsid w:val="00F27F20"/>
    <w:rsid w:val="00F76C53"/>
    <w:rsid w:val="00F80228"/>
    <w:rsid w:val="00FA3A96"/>
    <w:rsid w:val="00FB22F0"/>
    <w:rsid w:val="00FB4760"/>
    <w:rsid w:val="00FC6D89"/>
    <w:rsid w:val="00FE165A"/>
    <w:rsid w:val="00FF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5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02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DC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802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1DC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62578"/>
    <w:pPr>
      <w:ind w:left="720"/>
      <w:contextualSpacing/>
    </w:pPr>
  </w:style>
  <w:style w:type="paragraph" w:styleId="BlockText">
    <w:name w:val="Block Text"/>
    <w:basedOn w:val="Normal"/>
    <w:uiPriority w:val="99"/>
    <w:rsid w:val="00E5750E"/>
    <w:pPr>
      <w:tabs>
        <w:tab w:val="left" w:pos="1080"/>
      </w:tabs>
      <w:ind w:left="720" w:right="386"/>
      <w:jc w:val="both"/>
    </w:pPr>
  </w:style>
  <w:style w:type="paragraph" w:styleId="BalloonText">
    <w:name w:val="Balloon Text"/>
    <w:basedOn w:val="Normal"/>
    <w:link w:val="BalloonTextChar"/>
    <w:rsid w:val="00972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2E2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427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427C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0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73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8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ren.org/ren/handbook/prescribing-handbook/patient-information-leafle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r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Vascular Surgery guidelines</vt:lpstr>
    </vt:vector>
  </TitlesOfParts>
  <Company>LUHD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Vascular Surgery guidelines</dc:title>
  <dc:creator>jinwerne.hah</dc:creator>
  <cp:lastModifiedBy>robert.w.hunter</cp:lastModifiedBy>
  <cp:revision>5</cp:revision>
  <cp:lastPrinted>2017-05-31T17:21:00Z</cp:lastPrinted>
  <dcterms:created xsi:type="dcterms:W3CDTF">2024-04-30T11:20:00Z</dcterms:created>
  <dcterms:modified xsi:type="dcterms:W3CDTF">2024-05-15T13:56:00Z</dcterms:modified>
</cp:coreProperties>
</file>