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07"/>
        <w:tblW w:w="974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F044B" w14:paraId="0FF01B1B" w14:textId="77777777" w:rsidTr="003141D2">
        <w:trPr>
          <w:trHeight w:val="993"/>
        </w:trPr>
        <w:tc>
          <w:tcPr>
            <w:tcW w:w="9747" w:type="dxa"/>
          </w:tcPr>
          <w:p w14:paraId="2B8FED57" w14:textId="77777777" w:rsidR="005F044B" w:rsidRDefault="005F044B" w:rsidP="00972E28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Renal Directorate Guidelines</w:t>
            </w:r>
          </w:p>
          <w:p w14:paraId="4B90E00C" w14:textId="77777777" w:rsidR="005F044B" w:rsidRPr="00972E28" w:rsidRDefault="005F044B" w:rsidP="00F27F20">
            <w:pPr>
              <w:ind w:right="-433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28"/>
                <w:szCs w:val="28"/>
              </w:rPr>
              <w:t>Royal Infirmary of Edinburgh</w:t>
            </w:r>
          </w:p>
        </w:tc>
      </w:tr>
    </w:tbl>
    <w:p w14:paraId="094CA01F" w14:textId="77777777" w:rsidR="003141D2" w:rsidRPr="003141D2" w:rsidRDefault="003141D2" w:rsidP="00F27F20">
      <w:pPr>
        <w:ind w:left="-142"/>
        <w:rPr>
          <w:rFonts w:ascii="Calibri" w:hAnsi="Calibri" w:cs="Arial"/>
          <w:b/>
          <w:sz w:val="16"/>
          <w:szCs w:val="16"/>
        </w:rPr>
      </w:pPr>
      <w:r w:rsidRPr="003141D2">
        <w:rPr>
          <w:rFonts w:ascii="Calibri" w:hAnsi="Calibri" w:cs="Arial"/>
          <w:b/>
          <w:noProof/>
          <w:sz w:val="16"/>
          <w:szCs w:val="16"/>
          <w:lang w:eastAsia="en-GB"/>
        </w:rPr>
        <w:drawing>
          <wp:anchor distT="0" distB="0" distL="114300" distR="114300" simplePos="0" relativeHeight="251657728" behindDoc="0" locked="0" layoutInCell="1" allowOverlap="1" wp14:anchorId="04A20AB3" wp14:editId="57812AD3">
            <wp:simplePos x="0" y="0"/>
            <wp:positionH relativeFrom="column">
              <wp:posOffset>5128260</wp:posOffset>
            </wp:positionH>
            <wp:positionV relativeFrom="paragraph">
              <wp:posOffset>-334010</wp:posOffset>
            </wp:positionV>
            <wp:extent cx="755650" cy="598805"/>
            <wp:effectExtent l="19050" t="0" r="6350" b="0"/>
            <wp:wrapTight wrapText="bothSides">
              <wp:wrapPolygon edited="0">
                <wp:start x="-545" y="0"/>
                <wp:lineTo x="-545" y="20615"/>
                <wp:lineTo x="21782" y="20615"/>
                <wp:lineTo x="21782" y="0"/>
                <wp:lineTo x="-54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3043" b="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A77969" w14:textId="77777777" w:rsidR="005F044B" w:rsidRDefault="00CC7E63" w:rsidP="00CC7E63">
      <w:pPr>
        <w:ind w:left="-142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Enoxaparin</w:t>
      </w:r>
      <w:r w:rsidR="000E2408">
        <w:rPr>
          <w:rFonts w:ascii="Calibri" w:hAnsi="Calibri" w:cs="Arial"/>
          <w:b/>
          <w:sz w:val="32"/>
          <w:szCs w:val="32"/>
        </w:rPr>
        <w:t xml:space="preserve"> to maintain patency of a haemodialysis circuit</w:t>
      </w:r>
    </w:p>
    <w:p w14:paraId="42E99B2B" w14:textId="77777777" w:rsidR="00A04FB3" w:rsidRPr="00265B19" w:rsidRDefault="00A04FB3" w:rsidP="00972E28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9"/>
        <w:gridCol w:w="7371"/>
      </w:tblGrid>
      <w:tr w:rsidR="00753EE1" w:rsidRPr="00E12BDD" w14:paraId="4D1FE223" w14:textId="77777777" w:rsidTr="00D23D11">
        <w:tc>
          <w:tcPr>
            <w:tcW w:w="2269" w:type="dxa"/>
          </w:tcPr>
          <w:p w14:paraId="16F29B4A" w14:textId="77777777" w:rsidR="00753EE1" w:rsidRDefault="00753EE1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Indication</w:t>
            </w:r>
            <w:r>
              <w:rPr>
                <w:rFonts w:ascii="Calibri" w:hAnsi="Calibri" w:cs="Arial"/>
                <w:b/>
              </w:rPr>
              <w:t xml:space="preserve"> and additional Information</w:t>
            </w:r>
          </w:p>
          <w:p w14:paraId="743C111D" w14:textId="77777777"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71" w:type="dxa"/>
          </w:tcPr>
          <w:p w14:paraId="3F697E52" w14:textId="77777777" w:rsidR="00753EE1" w:rsidRPr="000E2408" w:rsidRDefault="000E2408" w:rsidP="00F27F20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 w:rsidRPr="000E2408">
              <w:rPr>
                <w:rFonts w:ascii="Calibri" w:hAnsi="Calibri"/>
                <w:iCs/>
              </w:rPr>
              <w:t xml:space="preserve">Prevention of clotting of the extracorporeal circuit in patients on haemodialysis.  </w:t>
            </w:r>
          </w:p>
        </w:tc>
      </w:tr>
      <w:tr w:rsidR="004427A4" w:rsidRPr="00E12BDD" w14:paraId="742DB13D" w14:textId="77777777" w:rsidTr="00D23D11">
        <w:tc>
          <w:tcPr>
            <w:tcW w:w="2269" w:type="dxa"/>
          </w:tcPr>
          <w:p w14:paraId="5B332417" w14:textId="77777777" w:rsidR="004427A4" w:rsidRDefault="004427A4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Criteria for treatment</w:t>
            </w:r>
          </w:p>
          <w:p w14:paraId="53FC7C37" w14:textId="77777777"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71" w:type="dxa"/>
          </w:tcPr>
          <w:p w14:paraId="18363F79" w14:textId="77777777" w:rsidR="004427A4" w:rsidRPr="00753EE1" w:rsidRDefault="000E2408" w:rsidP="000E2408">
            <w:pPr>
              <w:pStyle w:val="BlockText"/>
              <w:ind w:left="0" w:right="-79"/>
              <w:rPr>
                <w:rFonts w:ascii="Calibri" w:hAnsi="Calibri"/>
                <w:b/>
                <w:iCs/>
              </w:rPr>
            </w:pPr>
            <w:r w:rsidRPr="000E2408">
              <w:rPr>
                <w:rFonts w:ascii="Calibri" w:hAnsi="Calibri"/>
                <w:iCs/>
              </w:rPr>
              <w:t>Receiving haemodialysis and no contra-indications to anticoagulant therapy.</w:t>
            </w:r>
            <w:r>
              <w:rPr>
                <w:rFonts w:ascii="Calibri" w:hAnsi="Calibri"/>
                <w:b/>
                <w:iCs/>
              </w:rPr>
              <w:t xml:space="preserve">  </w:t>
            </w:r>
          </w:p>
        </w:tc>
      </w:tr>
      <w:tr w:rsidR="005F044B" w:rsidRPr="00E12BDD" w14:paraId="2F202F29" w14:textId="77777777" w:rsidTr="00D23D11">
        <w:tc>
          <w:tcPr>
            <w:tcW w:w="2269" w:type="dxa"/>
          </w:tcPr>
          <w:p w14:paraId="17F5586A" w14:textId="77777777" w:rsidR="005F044B" w:rsidRDefault="005F044B" w:rsidP="009E30D2">
            <w:pPr>
              <w:rPr>
                <w:rFonts w:ascii="Calibri" w:hAnsi="Calibri" w:cs="Arial"/>
                <w:b/>
              </w:rPr>
            </w:pPr>
            <w:r w:rsidRPr="00823D6C">
              <w:rPr>
                <w:rFonts w:ascii="Calibri" w:hAnsi="Calibri" w:cs="Arial"/>
                <w:b/>
              </w:rPr>
              <w:t>Dosage and administration</w:t>
            </w:r>
          </w:p>
          <w:p w14:paraId="3A4D99AC" w14:textId="77777777" w:rsidR="00F27F20" w:rsidRPr="00823D6C" w:rsidRDefault="00F27F20" w:rsidP="009E30D2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71" w:type="dxa"/>
          </w:tcPr>
          <w:p w14:paraId="4E0D3A0B" w14:textId="3E30E557" w:rsidR="000E2408" w:rsidRPr="000E2408" w:rsidRDefault="000E2408" w:rsidP="000E2408">
            <w:pPr>
              <w:pStyle w:val="BlockText"/>
              <w:ind w:left="0" w:right="-79"/>
              <w:rPr>
                <w:rFonts w:ascii="Calibri" w:hAnsi="Calibri"/>
                <w:iCs/>
              </w:rPr>
            </w:pPr>
            <w:r w:rsidRPr="000E2408">
              <w:rPr>
                <w:rFonts w:ascii="Calibri" w:hAnsi="Calibri"/>
                <w:iCs/>
              </w:rPr>
              <w:t xml:space="preserve">Adjust dose according to patient’s target (“dry”) weight.  Administer into the </w:t>
            </w:r>
            <w:r w:rsidR="00EB1FED" w:rsidRPr="00EB1FED">
              <w:rPr>
                <w:rFonts w:ascii="Calibri" w:hAnsi="Calibri"/>
                <w:iCs/>
              </w:rPr>
              <w:t>arterial line of the circuit at the beginning of the dialysis session</w:t>
            </w:r>
            <w:r w:rsidRPr="000E2408">
              <w:rPr>
                <w:rFonts w:ascii="Calibri" w:hAnsi="Calibri"/>
                <w:iCs/>
              </w:rPr>
              <w:t xml:space="preserve">.  </w:t>
            </w:r>
          </w:p>
          <w:p w14:paraId="6C789AAD" w14:textId="77777777" w:rsidR="000E2408" w:rsidRDefault="000E2408"/>
          <w:tbl>
            <w:tblPr>
              <w:tblStyle w:val="TableGrid"/>
              <w:tblW w:w="0" w:type="auto"/>
              <w:tblInd w:w="5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281"/>
              <w:gridCol w:w="2964"/>
            </w:tblGrid>
            <w:tr w:rsidR="000E2408" w14:paraId="67063CB4" w14:textId="77777777" w:rsidTr="00842F2C">
              <w:tc>
                <w:tcPr>
                  <w:tcW w:w="2281" w:type="dxa"/>
                </w:tcPr>
                <w:p w14:paraId="69D2C127" w14:textId="77777777" w:rsidR="000E2408" w:rsidRDefault="000E2408" w:rsidP="00C42A89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Target Weight</w:t>
                  </w:r>
                </w:p>
              </w:tc>
              <w:tc>
                <w:tcPr>
                  <w:tcW w:w="2964" w:type="dxa"/>
                </w:tcPr>
                <w:p w14:paraId="5548DAFF" w14:textId="77777777" w:rsidR="000E2408" w:rsidRDefault="00CC7E63" w:rsidP="000E2408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Enoxa</w:t>
                  </w:r>
                  <w:r w:rsidR="000E2408">
                    <w:rPr>
                      <w:b/>
                      <w:lang w:val="en-US"/>
                    </w:rPr>
                    <w:t>parin Dose</w:t>
                  </w:r>
                </w:p>
              </w:tc>
            </w:tr>
            <w:tr w:rsidR="000E2408" w14:paraId="41D5B85F" w14:textId="77777777" w:rsidTr="00842F2C">
              <w:tc>
                <w:tcPr>
                  <w:tcW w:w="2281" w:type="dxa"/>
                </w:tcPr>
                <w:p w14:paraId="7553BDF3" w14:textId="77777777" w:rsidR="000E2408" w:rsidRPr="00FE1A45" w:rsidRDefault="00CC7E63" w:rsidP="00C42A8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Up to 60</w:t>
                  </w:r>
                  <w:r w:rsidR="000E2408">
                    <w:rPr>
                      <w:lang w:val="en-US"/>
                    </w:rPr>
                    <w:t xml:space="preserve"> </w:t>
                  </w:r>
                  <w:r w:rsidR="000E2408" w:rsidRPr="00FE1A45">
                    <w:rPr>
                      <w:lang w:val="en-US"/>
                    </w:rPr>
                    <w:t>kg</w:t>
                  </w:r>
                </w:p>
              </w:tc>
              <w:tc>
                <w:tcPr>
                  <w:tcW w:w="2964" w:type="dxa"/>
                </w:tcPr>
                <w:p w14:paraId="28AAF715" w14:textId="77777777" w:rsidR="000E2408" w:rsidRPr="00FE1A45" w:rsidRDefault="000E2408" w:rsidP="00CC7E63">
                  <w:pPr>
                    <w:jc w:val="center"/>
                    <w:rPr>
                      <w:lang w:val="en-US"/>
                    </w:rPr>
                  </w:pPr>
                  <w:r w:rsidRPr="00FE1A45">
                    <w:rPr>
                      <w:lang w:val="en-US"/>
                    </w:rPr>
                    <w:t>2</w:t>
                  </w:r>
                  <w:r w:rsidR="00CC7E63">
                    <w:rPr>
                      <w:lang w:val="en-US"/>
                    </w:rPr>
                    <w:t>0mg (2000iu)</w:t>
                  </w:r>
                </w:p>
              </w:tc>
            </w:tr>
            <w:tr w:rsidR="000E2408" w14:paraId="0D96DA45" w14:textId="77777777" w:rsidTr="00842F2C">
              <w:tc>
                <w:tcPr>
                  <w:tcW w:w="2281" w:type="dxa"/>
                </w:tcPr>
                <w:p w14:paraId="3F0EE2E3" w14:textId="77777777" w:rsidR="000E2408" w:rsidRPr="00FE1A45" w:rsidRDefault="00CC7E63" w:rsidP="00C42A8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Over 60</w:t>
                  </w:r>
                  <w:r w:rsidR="000E2408">
                    <w:rPr>
                      <w:lang w:val="en-US"/>
                    </w:rPr>
                    <w:t xml:space="preserve"> kg</w:t>
                  </w:r>
                </w:p>
              </w:tc>
              <w:tc>
                <w:tcPr>
                  <w:tcW w:w="2964" w:type="dxa"/>
                </w:tcPr>
                <w:p w14:paraId="3922F828" w14:textId="77777777" w:rsidR="000E2408" w:rsidRPr="00FE1A45" w:rsidRDefault="00CC7E63" w:rsidP="00CC7E6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40mg (4000iu)</w:t>
                  </w:r>
                </w:p>
              </w:tc>
            </w:tr>
          </w:tbl>
          <w:p w14:paraId="6F404455" w14:textId="77777777" w:rsidR="00091619" w:rsidRDefault="00091619" w:rsidP="000E2408">
            <w:pPr>
              <w:pStyle w:val="BlockText"/>
              <w:ind w:left="0" w:right="-79"/>
              <w:rPr>
                <w:rFonts w:ascii="Calibri" w:hAnsi="Calibri"/>
              </w:rPr>
            </w:pPr>
          </w:p>
          <w:p w14:paraId="0F8A64B9" w14:textId="77777777" w:rsid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sz w:val="20"/>
                <w:szCs w:val="20"/>
              </w:rPr>
            </w:pPr>
            <w:r w:rsidRPr="00D23D11">
              <w:rPr>
                <w:rFonts w:ascii="Calibri" w:hAnsi="Calibri"/>
                <w:sz w:val="20"/>
                <w:szCs w:val="20"/>
              </w:rPr>
              <w:t>•</w:t>
            </w:r>
            <w:r w:rsidRPr="00D23D11">
              <w:rPr>
                <w:rFonts w:ascii="Calibri" w:hAnsi="Calibri"/>
                <w:sz w:val="20"/>
                <w:szCs w:val="20"/>
              </w:rPr>
              <w:tab/>
              <w:t>Consider lower dose for planned haemodialysis treatment of less than four hours.</w:t>
            </w:r>
          </w:p>
          <w:p w14:paraId="4B46B9CA" w14:textId="77777777" w:rsid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sz w:val="20"/>
                <w:szCs w:val="20"/>
              </w:rPr>
            </w:pPr>
          </w:p>
          <w:p w14:paraId="73525724" w14:textId="77777777" w:rsidR="00D23D11" w:rsidRP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D23D11">
              <w:rPr>
                <w:rFonts w:ascii="Calibri" w:hAnsi="Calibri"/>
                <w:b/>
                <w:sz w:val="20"/>
                <w:szCs w:val="20"/>
                <w:u w:val="single"/>
              </w:rPr>
              <w:t>For patients who experience clotting:</w:t>
            </w:r>
          </w:p>
          <w:p w14:paraId="38E5FB56" w14:textId="77777777" w:rsidR="00D23D11" w:rsidRP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sz w:val="20"/>
                <w:szCs w:val="20"/>
              </w:rPr>
            </w:pPr>
            <w:r w:rsidRPr="00D23D11">
              <w:rPr>
                <w:rFonts w:ascii="Calibri" w:hAnsi="Calibri"/>
                <w:sz w:val="20"/>
                <w:szCs w:val="20"/>
              </w:rPr>
              <w:t>•</w:t>
            </w:r>
            <w:r w:rsidRPr="00D23D11"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>increase by 2</w:t>
            </w:r>
            <w:r w:rsidR="00CC7E63">
              <w:rPr>
                <w:rFonts w:ascii="Calibri" w:hAnsi="Calibri"/>
                <w:sz w:val="20"/>
                <w:szCs w:val="20"/>
              </w:rPr>
              <w:t>0mg</w:t>
            </w:r>
            <w:r>
              <w:rPr>
                <w:rFonts w:ascii="Calibri" w:hAnsi="Calibri"/>
                <w:sz w:val="20"/>
                <w:szCs w:val="20"/>
              </w:rPr>
              <w:t xml:space="preserve"> for the next dialysis session (up to maximum </w:t>
            </w:r>
            <w:r w:rsidR="00CC7E63">
              <w:rPr>
                <w:rFonts w:ascii="Calibri" w:hAnsi="Calibri"/>
                <w:sz w:val="20"/>
                <w:szCs w:val="20"/>
              </w:rPr>
              <w:t>40mg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14:paraId="69E7E470" w14:textId="77777777" w:rsid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sz w:val="20"/>
                <w:szCs w:val="20"/>
              </w:rPr>
            </w:pPr>
            <w:r w:rsidRPr="00D23D11">
              <w:rPr>
                <w:rFonts w:ascii="Calibri" w:hAnsi="Calibri"/>
                <w:sz w:val="20"/>
                <w:szCs w:val="20"/>
              </w:rPr>
              <w:t>•</w:t>
            </w:r>
            <w:r w:rsidRPr="00D23D11"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 xml:space="preserve">if already receiving </w:t>
            </w:r>
            <w:r w:rsidR="00CC7E63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="00CC7E63">
              <w:rPr>
                <w:rFonts w:ascii="Calibri" w:hAnsi="Calibri"/>
                <w:sz w:val="20"/>
                <w:szCs w:val="20"/>
              </w:rPr>
              <w:t>mg</w:t>
            </w:r>
            <w:r>
              <w:rPr>
                <w:rFonts w:ascii="Calibri" w:hAnsi="Calibri"/>
                <w:sz w:val="20"/>
                <w:szCs w:val="20"/>
              </w:rPr>
              <w:t xml:space="preserve"> then </w:t>
            </w:r>
            <w:r w:rsidRPr="00D23D11">
              <w:rPr>
                <w:rFonts w:ascii="Calibri" w:hAnsi="Calibri"/>
                <w:sz w:val="20"/>
                <w:szCs w:val="20"/>
              </w:rPr>
              <w:t>consider a further dose of 20</w:t>
            </w:r>
            <w:r w:rsidR="00CC7E63">
              <w:rPr>
                <w:rFonts w:ascii="Calibri" w:hAnsi="Calibri"/>
                <w:sz w:val="20"/>
                <w:szCs w:val="20"/>
              </w:rPr>
              <w:t>mg</w:t>
            </w:r>
            <w:r w:rsidRPr="00D23D11">
              <w:rPr>
                <w:rFonts w:ascii="Calibri" w:hAnsi="Calibri"/>
                <w:sz w:val="20"/>
                <w:szCs w:val="20"/>
              </w:rPr>
              <w:t xml:space="preserve"> at the mi</w:t>
            </w:r>
            <w:r>
              <w:rPr>
                <w:rFonts w:ascii="Calibri" w:hAnsi="Calibri"/>
                <w:sz w:val="20"/>
                <w:szCs w:val="20"/>
              </w:rPr>
              <w:t>d-point of the dialysis session</w:t>
            </w:r>
            <w:r w:rsidR="00A324C6">
              <w:rPr>
                <w:rFonts w:ascii="Calibri" w:hAnsi="Calibri"/>
                <w:sz w:val="20"/>
                <w:szCs w:val="20"/>
              </w:rPr>
              <w:t xml:space="preserve"> or 60mg at the start of treatment.</w:t>
            </w:r>
          </w:p>
          <w:p w14:paraId="0033807F" w14:textId="77777777" w:rsidR="00D23D11" w:rsidRP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sz w:val="20"/>
                <w:szCs w:val="20"/>
              </w:rPr>
            </w:pPr>
          </w:p>
          <w:p w14:paraId="52D53983" w14:textId="77777777" w:rsid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sz w:val="20"/>
                <w:szCs w:val="20"/>
              </w:rPr>
            </w:pPr>
            <w:r w:rsidRPr="00D23D11">
              <w:rPr>
                <w:rFonts w:ascii="Calibri" w:hAnsi="Calibri"/>
                <w:b/>
                <w:sz w:val="20"/>
                <w:szCs w:val="20"/>
                <w:u w:val="single"/>
              </w:rPr>
              <w:t>For patients who have prolonged bleeding from the needle site post dialysis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</w:p>
          <w:p w14:paraId="590C4B54" w14:textId="77777777" w:rsidR="00D23D11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  <w:sz w:val="20"/>
                <w:szCs w:val="20"/>
              </w:rPr>
            </w:pPr>
            <w:r w:rsidRPr="00D23D11">
              <w:rPr>
                <w:rFonts w:ascii="Calibri" w:hAnsi="Calibri"/>
                <w:sz w:val="20"/>
                <w:szCs w:val="20"/>
              </w:rPr>
              <w:t>•</w:t>
            </w:r>
            <w:r w:rsidRPr="00D23D11">
              <w:rPr>
                <w:rFonts w:ascii="Calibri" w:hAnsi="Calibri"/>
                <w:sz w:val="20"/>
                <w:szCs w:val="20"/>
              </w:rPr>
              <w:tab/>
            </w:r>
            <w:r w:rsidR="00CC7E63">
              <w:rPr>
                <w:rFonts w:ascii="Calibri" w:hAnsi="Calibri"/>
                <w:sz w:val="20"/>
                <w:szCs w:val="20"/>
              </w:rPr>
              <w:t>reduce dose by 2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="00CC7E63">
              <w:rPr>
                <w:rFonts w:ascii="Calibri" w:hAnsi="Calibri"/>
                <w:sz w:val="20"/>
                <w:szCs w:val="20"/>
              </w:rPr>
              <w:t>mg</w:t>
            </w:r>
            <w:r>
              <w:rPr>
                <w:rFonts w:ascii="Calibri" w:hAnsi="Calibri"/>
                <w:sz w:val="20"/>
                <w:szCs w:val="20"/>
              </w:rPr>
              <w:t xml:space="preserve"> for the next dialysis session</w:t>
            </w:r>
          </w:p>
          <w:p w14:paraId="47B2BD97" w14:textId="77777777" w:rsidR="000E2408" w:rsidRPr="00823D6C" w:rsidRDefault="000E2408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/>
              </w:rPr>
            </w:pPr>
          </w:p>
        </w:tc>
      </w:tr>
      <w:tr w:rsidR="005F044B" w:rsidRPr="00E12BDD" w14:paraId="52C83DC5" w14:textId="77777777" w:rsidTr="00D23D11">
        <w:trPr>
          <w:trHeight w:val="383"/>
        </w:trPr>
        <w:tc>
          <w:tcPr>
            <w:tcW w:w="2269" w:type="dxa"/>
          </w:tcPr>
          <w:p w14:paraId="00BE018E" w14:textId="0A9431F3" w:rsidR="004427A4" w:rsidRDefault="004427A4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Monitoring</w:t>
            </w:r>
            <w:r w:rsidR="00D23D11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="005A4A25">
              <w:rPr>
                <w:rFonts w:ascii="Calibri" w:hAnsi="Calibri" w:cs="Arial"/>
                <w:b/>
              </w:rPr>
              <w:t>Antifactor</w:t>
            </w:r>
            <w:proofErr w:type="spellEnd"/>
            <w:r w:rsidR="005A4A25">
              <w:rPr>
                <w:rFonts w:ascii="Calibri" w:hAnsi="Calibri" w:cs="Arial"/>
                <w:b/>
              </w:rPr>
              <w:t>-</w:t>
            </w:r>
            <w:r w:rsidR="00D23D11">
              <w:rPr>
                <w:rFonts w:ascii="Calibri" w:hAnsi="Calibri" w:cs="Arial"/>
                <w:b/>
              </w:rPr>
              <w:t>Xa levels</w:t>
            </w:r>
          </w:p>
          <w:p w14:paraId="144E46E8" w14:textId="77777777" w:rsidR="005F044B" w:rsidRPr="00823D6C" w:rsidRDefault="005F044B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71" w:type="dxa"/>
          </w:tcPr>
          <w:p w14:paraId="53F61C32" w14:textId="77777777" w:rsidR="00842F2C" w:rsidRPr="00C74EE4" w:rsidRDefault="00D23D11" w:rsidP="00EC436C">
            <w:pPr>
              <w:jc w:val="both"/>
              <w:rPr>
                <w:rFonts w:ascii="Calibri" w:hAnsi="Calibri" w:cs="Arial"/>
                <w:sz w:val="20"/>
              </w:rPr>
            </w:pPr>
            <w:r w:rsidRPr="00C74EE4">
              <w:rPr>
                <w:rFonts w:ascii="Calibri" w:hAnsi="Calibri" w:cs="Arial"/>
                <w:sz w:val="20"/>
              </w:rPr>
              <w:t xml:space="preserve">Routine anti-Xa monitoring is not necessary.  </w:t>
            </w:r>
          </w:p>
          <w:p w14:paraId="29C84CDC" w14:textId="77777777" w:rsidR="00C849D8" w:rsidRPr="00C74EE4" w:rsidRDefault="00C849D8" w:rsidP="00EC436C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1D1B81DD" w14:textId="75541A4A" w:rsidR="00C849D8" w:rsidRPr="00C74EE4" w:rsidRDefault="00C849D8" w:rsidP="00EC436C">
            <w:pPr>
              <w:jc w:val="both"/>
              <w:rPr>
                <w:rFonts w:ascii="Calibri" w:hAnsi="Calibri" w:cs="Arial"/>
                <w:sz w:val="20"/>
              </w:rPr>
            </w:pPr>
            <w:r w:rsidRPr="00C74EE4">
              <w:rPr>
                <w:rFonts w:ascii="Calibri" w:hAnsi="Calibri" w:cs="Arial"/>
                <w:sz w:val="20"/>
              </w:rPr>
              <w:t>I</w:t>
            </w:r>
            <w:r w:rsidR="005A4A25" w:rsidRPr="00C74EE4">
              <w:rPr>
                <w:rFonts w:ascii="Calibri" w:hAnsi="Calibri" w:cs="Arial"/>
                <w:sz w:val="20"/>
              </w:rPr>
              <w:t xml:space="preserve">f the dose of enoxaparin </w:t>
            </w:r>
            <w:r w:rsidRPr="00C74EE4">
              <w:rPr>
                <w:rFonts w:ascii="Calibri" w:hAnsi="Calibri" w:cs="Arial"/>
                <w:sz w:val="20"/>
              </w:rPr>
              <w:t>is</w:t>
            </w:r>
            <w:r w:rsidR="005A4A25" w:rsidRPr="00C74EE4">
              <w:rPr>
                <w:rFonts w:ascii="Calibri" w:hAnsi="Calibri" w:cs="Arial"/>
                <w:sz w:val="20"/>
              </w:rPr>
              <w:t xml:space="preserve"> increased to 60mg a pre-dose </w:t>
            </w:r>
            <w:r w:rsidR="00305AC2" w:rsidRPr="00C74EE4">
              <w:rPr>
                <w:rFonts w:ascii="Calibri" w:hAnsi="Calibri" w:cs="Arial"/>
                <w:sz w:val="20"/>
              </w:rPr>
              <w:t>a</w:t>
            </w:r>
            <w:r w:rsidR="005A4A25" w:rsidRPr="00C74EE4">
              <w:rPr>
                <w:rFonts w:ascii="Calibri" w:hAnsi="Calibri" w:cs="Arial"/>
                <w:sz w:val="20"/>
              </w:rPr>
              <w:t>nti</w:t>
            </w:r>
            <w:r w:rsidR="00305AC2" w:rsidRPr="00C74EE4">
              <w:rPr>
                <w:rFonts w:ascii="Calibri" w:hAnsi="Calibri" w:cs="Arial"/>
                <w:sz w:val="20"/>
              </w:rPr>
              <w:t>-</w:t>
            </w:r>
            <w:r w:rsidR="005A4A25" w:rsidRPr="00C74EE4">
              <w:rPr>
                <w:rFonts w:ascii="Calibri" w:hAnsi="Calibri" w:cs="Arial"/>
                <w:sz w:val="20"/>
              </w:rPr>
              <w:t>factor</w:t>
            </w:r>
            <w:r w:rsidR="00305AC2" w:rsidRPr="00C74EE4">
              <w:rPr>
                <w:rFonts w:ascii="Calibri" w:hAnsi="Calibri" w:cs="Arial"/>
                <w:sz w:val="20"/>
              </w:rPr>
              <w:t xml:space="preserve"> </w:t>
            </w:r>
            <w:r w:rsidR="005A4A25" w:rsidRPr="00C74EE4">
              <w:rPr>
                <w:rFonts w:ascii="Calibri" w:hAnsi="Calibri" w:cs="Arial"/>
                <w:sz w:val="20"/>
              </w:rPr>
              <w:t>Xa level should be taken on the 4</w:t>
            </w:r>
            <w:r w:rsidR="005A4A25" w:rsidRPr="00C74EE4">
              <w:rPr>
                <w:rFonts w:ascii="Calibri" w:hAnsi="Calibri" w:cs="Arial"/>
                <w:sz w:val="20"/>
                <w:vertAlign w:val="superscript"/>
              </w:rPr>
              <w:t>th</w:t>
            </w:r>
            <w:r w:rsidR="005A4A25" w:rsidRPr="00C74EE4">
              <w:rPr>
                <w:rFonts w:ascii="Calibri" w:hAnsi="Calibri" w:cs="Arial"/>
                <w:sz w:val="20"/>
              </w:rPr>
              <w:t xml:space="preserve"> dose of enoxaparin to check for accumulation.</w:t>
            </w:r>
          </w:p>
          <w:p w14:paraId="54A1806A" w14:textId="324AE240" w:rsidR="005A4A25" w:rsidRPr="00C74EE4" w:rsidRDefault="005A4A25" w:rsidP="00EC436C">
            <w:pPr>
              <w:jc w:val="both"/>
              <w:rPr>
                <w:rFonts w:ascii="Calibri" w:hAnsi="Calibri" w:cs="Arial"/>
                <w:sz w:val="20"/>
              </w:rPr>
            </w:pPr>
            <w:r w:rsidRPr="00C74EE4">
              <w:rPr>
                <w:rFonts w:ascii="Calibri" w:hAnsi="Calibri" w:cs="Arial"/>
                <w:sz w:val="20"/>
              </w:rPr>
              <w:t>Level should be &lt;0.2units/ml</w:t>
            </w:r>
          </w:p>
        </w:tc>
      </w:tr>
      <w:tr w:rsidR="00D23D11" w:rsidRPr="00E12BDD" w14:paraId="7C014B06" w14:textId="77777777" w:rsidTr="00D23D11">
        <w:tc>
          <w:tcPr>
            <w:tcW w:w="2269" w:type="dxa"/>
          </w:tcPr>
          <w:p w14:paraId="66F6918B" w14:textId="77777777" w:rsidR="00D23D11" w:rsidRDefault="00D23D11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Contraindications</w:t>
            </w:r>
          </w:p>
        </w:tc>
        <w:tc>
          <w:tcPr>
            <w:tcW w:w="7371" w:type="dxa"/>
          </w:tcPr>
          <w:p w14:paraId="1C3A7FAE" w14:textId="77777777" w:rsidR="00D23D11" w:rsidRPr="00842F2C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 w:rsidRPr="00842F2C">
              <w:rPr>
                <w:rFonts w:ascii="Calibri" w:hAnsi="Calibri" w:cs="Arial"/>
                <w:sz w:val="20"/>
                <w:szCs w:val="20"/>
              </w:rPr>
              <w:t>•</w:t>
            </w:r>
            <w:r w:rsidRPr="00842F2C">
              <w:rPr>
                <w:rFonts w:ascii="Calibri" w:hAnsi="Calibri" w:cs="Arial"/>
                <w:sz w:val="20"/>
                <w:szCs w:val="20"/>
              </w:rPr>
              <w:tab/>
            </w:r>
            <w:r w:rsidR="00842F2C">
              <w:rPr>
                <w:rFonts w:ascii="Calibri" w:hAnsi="Calibri" w:cs="Arial"/>
                <w:sz w:val="20"/>
                <w:szCs w:val="20"/>
              </w:rPr>
              <w:t>Systemic anticoagulation (e.g. with warfarin)</w:t>
            </w:r>
          </w:p>
          <w:p w14:paraId="0B40E532" w14:textId="77777777" w:rsidR="00D23D11" w:rsidRPr="00842F2C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 w:rsidRPr="00842F2C">
              <w:rPr>
                <w:rFonts w:ascii="Calibri" w:hAnsi="Calibri" w:cs="Arial"/>
                <w:sz w:val="20"/>
                <w:szCs w:val="20"/>
              </w:rPr>
              <w:t>•</w:t>
            </w:r>
            <w:r w:rsidRPr="00842F2C">
              <w:rPr>
                <w:rFonts w:ascii="Calibri" w:hAnsi="Calibri" w:cs="Arial"/>
                <w:sz w:val="20"/>
                <w:szCs w:val="20"/>
              </w:rPr>
              <w:tab/>
            </w:r>
            <w:r w:rsidR="00842F2C">
              <w:rPr>
                <w:rFonts w:ascii="Calibri" w:hAnsi="Calibri" w:cs="Arial"/>
                <w:sz w:val="20"/>
                <w:szCs w:val="20"/>
              </w:rPr>
              <w:t xml:space="preserve">24 hrs before or after </w:t>
            </w:r>
            <w:r w:rsidRPr="00842F2C">
              <w:rPr>
                <w:rFonts w:ascii="Calibri" w:hAnsi="Calibri" w:cs="Arial"/>
                <w:sz w:val="20"/>
                <w:szCs w:val="20"/>
              </w:rPr>
              <w:t xml:space="preserve">invasive procedures including surgery </w:t>
            </w:r>
          </w:p>
          <w:p w14:paraId="53A55E5E" w14:textId="77777777" w:rsidR="00D23D11" w:rsidRPr="00842F2C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 w:rsidRPr="00842F2C">
              <w:rPr>
                <w:rFonts w:ascii="Calibri" w:hAnsi="Calibri" w:cs="Arial"/>
                <w:sz w:val="20"/>
                <w:szCs w:val="20"/>
              </w:rPr>
              <w:t>•</w:t>
            </w:r>
            <w:r w:rsidRPr="00842F2C">
              <w:rPr>
                <w:rFonts w:ascii="Calibri" w:hAnsi="Calibri" w:cs="Arial"/>
                <w:sz w:val="20"/>
                <w:szCs w:val="20"/>
              </w:rPr>
              <w:tab/>
              <w:t>Hypersensitivity to heparin or to LMWHs</w:t>
            </w:r>
          </w:p>
          <w:p w14:paraId="0A2226A0" w14:textId="77777777" w:rsidR="00D23D11" w:rsidRPr="00842F2C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 w:rsidRPr="00842F2C">
              <w:rPr>
                <w:rFonts w:ascii="Calibri" w:hAnsi="Calibri" w:cs="Arial"/>
                <w:sz w:val="20"/>
                <w:szCs w:val="20"/>
              </w:rPr>
              <w:t>•</w:t>
            </w:r>
            <w:r w:rsidRPr="00842F2C">
              <w:rPr>
                <w:rFonts w:ascii="Calibri" w:hAnsi="Calibri" w:cs="Arial"/>
                <w:sz w:val="20"/>
                <w:szCs w:val="20"/>
              </w:rPr>
              <w:tab/>
              <w:t>Haemophilia and other haemorrhagic disorders</w:t>
            </w:r>
          </w:p>
          <w:p w14:paraId="5B307FDF" w14:textId="77777777" w:rsidR="00D23D11" w:rsidRPr="00842F2C" w:rsidRDefault="00842F2C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•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Profound thrombocytopenia</w:t>
            </w:r>
          </w:p>
          <w:p w14:paraId="6EA66D3E" w14:textId="77777777" w:rsidR="00D23D11" w:rsidRPr="00842F2C" w:rsidRDefault="00842F2C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•</w:t>
            </w:r>
            <w:r>
              <w:rPr>
                <w:rFonts w:ascii="Calibri" w:hAnsi="Calibri" w:cs="Arial"/>
                <w:sz w:val="20"/>
                <w:szCs w:val="20"/>
              </w:rPr>
              <w:tab/>
              <w:t>Recent cereb</w:t>
            </w:r>
            <w:r w:rsidR="00D23D11" w:rsidRPr="00842F2C">
              <w:rPr>
                <w:rFonts w:ascii="Calibri" w:hAnsi="Calibri" w:cs="Arial"/>
                <w:sz w:val="20"/>
                <w:szCs w:val="20"/>
              </w:rPr>
              <w:t>ral haemorrhage</w:t>
            </w:r>
          </w:p>
          <w:p w14:paraId="01B9DE8F" w14:textId="77777777" w:rsidR="00D23D11" w:rsidRPr="00842F2C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 w:rsidRPr="00842F2C">
              <w:rPr>
                <w:rFonts w:ascii="Calibri" w:hAnsi="Calibri" w:cs="Arial"/>
                <w:sz w:val="20"/>
                <w:szCs w:val="20"/>
              </w:rPr>
              <w:t>•</w:t>
            </w:r>
            <w:r w:rsidRPr="00842F2C">
              <w:rPr>
                <w:rFonts w:ascii="Calibri" w:hAnsi="Calibri" w:cs="Arial"/>
                <w:sz w:val="20"/>
                <w:szCs w:val="20"/>
              </w:rPr>
              <w:tab/>
              <w:t>Severe liver disease</w:t>
            </w:r>
          </w:p>
          <w:p w14:paraId="529BD151" w14:textId="77777777" w:rsidR="00D23D11" w:rsidRPr="00842F2C" w:rsidRDefault="00D23D11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  <w:r w:rsidRPr="00842F2C">
              <w:rPr>
                <w:rFonts w:ascii="Calibri" w:hAnsi="Calibri" w:cs="Arial"/>
                <w:sz w:val="20"/>
                <w:szCs w:val="20"/>
              </w:rPr>
              <w:t>•</w:t>
            </w:r>
            <w:r w:rsidRPr="00842F2C">
              <w:rPr>
                <w:rFonts w:ascii="Calibri" w:hAnsi="Calibri" w:cs="Arial"/>
                <w:sz w:val="20"/>
                <w:szCs w:val="20"/>
              </w:rPr>
              <w:tab/>
              <w:t>Acute peptic ulceration</w:t>
            </w:r>
          </w:p>
          <w:p w14:paraId="3EB9E134" w14:textId="77777777" w:rsidR="00842F2C" w:rsidRPr="00842F2C" w:rsidRDefault="00842F2C" w:rsidP="00D23D11">
            <w:pPr>
              <w:pStyle w:val="BlockText"/>
              <w:tabs>
                <w:tab w:val="clear" w:pos="1080"/>
                <w:tab w:val="left" w:pos="254"/>
              </w:tabs>
              <w:ind w:left="0" w:right="-79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42D0" w:rsidRPr="00E12BDD" w14:paraId="1F75F1B9" w14:textId="77777777" w:rsidTr="00D23D11">
        <w:tc>
          <w:tcPr>
            <w:tcW w:w="2269" w:type="dxa"/>
          </w:tcPr>
          <w:p w14:paraId="58A81BCA" w14:textId="77777777" w:rsidR="00BC42D0" w:rsidRDefault="00D7277C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Side Effects</w:t>
            </w:r>
          </w:p>
          <w:p w14:paraId="443F02E7" w14:textId="77777777" w:rsidR="00F27F20" w:rsidRDefault="00F27F20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7371" w:type="dxa"/>
          </w:tcPr>
          <w:p w14:paraId="405F2EAF" w14:textId="77777777" w:rsidR="00D23D11" w:rsidRPr="00842F2C" w:rsidRDefault="00D23D11" w:rsidP="00EF4518">
            <w:pPr>
              <w:pStyle w:val="BlockText"/>
              <w:numPr>
                <w:ilvl w:val="0"/>
                <w:numId w:val="10"/>
              </w:numPr>
              <w:tabs>
                <w:tab w:val="clear" w:pos="1080"/>
                <w:tab w:val="left" w:pos="254"/>
              </w:tabs>
              <w:ind w:right="-79"/>
              <w:rPr>
                <w:rFonts w:ascii="Calibri" w:hAnsi="Calibri" w:cs="Arial"/>
                <w:sz w:val="20"/>
              </w:rPr>
            </w:pPr>
            <w:r w:rsidRPr="00842F2C">
              <w:rPr>
                <w:rFonts w:ascii="Calibri" w:hAnsi="Calibri" w:cs="Arial"/>
                <w:sz w:val="20"/>
              </w:rPr>
              <w:t>Skin rashes (and minor bruising at injection site)</w:t>
            </w:r>
          </w:p>
          <w:p w14:paraId="1E8ED674" w14:textId="77777777" w:rsidR="00EF4518" w:rsidRDefault="00D23D11" w:rsidP="00EF4518">
            <w:pPr>
              <w:pStyle w:val="BlockText"/>
              <w:numPr>
                <w:ilvl w:val="0"/>
                <w:numId w:val="10"/>
              </w:numPr>
              <w:tabs>
                <w:tab w:val="clear" w:pos="1080"/>
                <w:tab w:val="left" w:pos="254"/>
              </w:tabs>
              <w:ind w:right="-79"/>
              <w:rPr>
                <w:rFonts w:ascii="Calibri" w:hAnsi="Calibri" w:cs="Arial"/>
                <w:sz w:val="20"/>
              </w:rPr>
            </w:pPr>
            <w:r w:rsidRPr="00842F2C">
              <w:rPr>
                <w:rFonts w:ascii="Calibri" w:hAnsi="Calibri" w:cs="Arial"/>
                <w:sz w:val="20"/>
              </w:rPr>
              <w:t>Systemic allergic reaction</w:t>
            </w:r>
          </w:p>
          <w:p w14:paraId="68C5E2AD" w14:textId="77777777" w:rsidR="00EF4518" w:rsidRPr="00842F2C" w:rsidRDefault="00EF4518" w:rsidP="00EF4518">
            <w:pPr>
              <w:pStyle w:val="BlockText"/>
              <w:numPr>
                <w:ilvl w:val="0"/>
                <w:numId w:val="10"/>
              </w:numPr>
              <w:tabs>
                <w:tab w:val="clear" w:pos="1080"/>
                <w:tab w:val="left" w:pos="254"/>
              </w:tabs>
              <w:ind w:right="-79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Abnormal LFTs (raised transaminase)</w:t>
            </w:r>
          </w:p>
          <w:p w14:paraId="0A95EC14" w14:textId="77777777" w:rsidR="00D23D11" w:rsidRPr="00842F2C" w:rsidRDefault="00D23D11" w:rsidP="00EF4518">
            <w:pPr>
              <w:pStyle w:val="BlockText"/>
              <w:numPr>
                <w:ilvl w:val="0"/>
                <w:numId w:val="10"/>
              </w:numPr>
              <w:tabs>
                <w:tab w:val="clear" w:pos="1080"/>
                <w:tab w:val="left" w:pos="254"/>
              </w:tabs>
              <w:ind w:right="-79"/>
              <w:rPr>
                <w:rFonts w:ascii="Calibri" w:hAnsi="Calibri" w:cs="Arial"/>
                <w:sz w:val="20"/>
              </w:rPr>
            </w:pPr>
            <w:r w:rsidRPr="00842F2C">
              <w:rPr>
                <w:rFonts w:ascii="Calibri" w:hAnsi="Calibri" w:cs="Arial"/>
                <w:sz w:val="20"/>
              </w:rPr>
              <w:t xml:space="preserve">Excessive bleeding </w:t>
            </w:r>
          </w:p>
          <w:p w14:paraId="348E7DF4" w14:textId="77777777" w:rsidR="00D23D11" w:rsidRPr="00842F2C" w:rsidRDefault="00D23D11" w:rsidP="00EF4518">
            <w:pPr>
              <w:pStyle w:val="BlockText"/>
              <w:numPr>
                <w:ilvl w:val="0"/>
                <w:numId w:val="10"/>
              </w:numPr>
              <w:tabs>
                <w:tab w:val="clear" w:pos="1080"/>
                <w:tab w:val="left" w:pos="254"/>
              </w:tabs>
              <w:ind w:right="-79"/>
              <w:rPr>
                <w:rFonts w:ascii="Calibri" w:hAnsi="Calibri" w:cs="Arial"/>
                <w:sz w:val="20"/>
              </w:rPr>
            </w:pPr>
            <w:r w:rsidRPr="00842F2C">
              <w:rPr>
                <w:rFonts w:ascii="Calibri" w:hAnsi="Calibri" w:cs="Arial"/>
                <w:sz w:val="20"/>
              </w:rPr>
              <w:t xml:space="preserve">Thrombocytopenia </w:t>
            </w:r>
          </w:p>
          <w:p w14:paraId="5982C671" w14:textId="77777777" w:rsidR="00D23D11" w:rsidRPr="00842F2C" w:rsidRDefault="00D23D11" w:rsidP="00EF4518">
            <w:pPr>
              <w:pStyle w:val="BlockText"/>
              <w:numPr>
                <w:ilvl w:val="0"/>
                <w:numId w:val="10"/>
              </w:numPr>
              <w:tabs>
                <w:tab w:val="clear" w:pos="1080"/>
                <w:tab w:val="left" w:pos="254"/>
              </w:tabs>
              <w:ind w:right="-79"/>
              <w:rPr>
                <w:rFonts w:ascii="Calibri" w:hAnsi="Calibri" w:cs="Arial"/>
                <w:sz w:val="20"/>
              </w:rPr>
            </w:pPr>
            <w:r w:rsidRPr="00842F2C">
              <w:rPr>
                <w:rFonts w:ascii="Calibri" w:hAnsi="Calibri" w:cs="Arial"/>
                <w:sz w:val="20"/>
              </w:rPr>
              <w:t xml:space="preserve">Skin necrosis </w:t>
            </w:r>
          </w:p>
          <w:p w14:paraId="0903BDDD" w14:textId="77777777" w:rsidR="00091619" w:rsidRDefault="00D23D11" w:rsidP="00EF4518">
            <w:pPr>
              <w:pStyle w:val="BlockText"/>
              <w:numPr>
                <w:ilvl w:val="0"/>
                <w:numId w:val="10"/>
              </w:numPr>
              <w:tabs>
                <w:tab w:val="clear" w:pos="1080"/>
                <w:tab w:val="left" w:pos="254"/>
              </w:tabs>
              <w:ind w:right="-79"/>
              <w:rPr>
                <w:rFonts w:ascii="Calibri" w:hAnsi="Calibri" w:cs="Arial"/>
                <w:sz w:val="20"/>
              </w:rPr>
            </w:pPr>
            <w:r w:rsidRPr="00842F2C">
              <w:rPr>
                <w:rFonts w:ascii="Calibri" w:hAnsi="Calibri" w:cs="Arial"/>
                <w:sz w:val="20"/>
              </w:rPr>
              <w:lastRenderedPageBreak/>
              <w:t>Hyperkalaemia</w:t>
            </w:r>
          </w:p>
          <w:p w14:paraId="6F976E78" w14:textId="77777777" w:rsidR="00842F2C" w:rsidRPr="007F1988" w:rsidRDefault="00842F2C" w:rsidP="00D23D11">
            <w:pPr>
              <w:pStyle w:val="BlockText"/>
              <w:tabs>
                <w:tab w:val="clear" w:pos="1080"/>
                <w:tab w:val="left" w:pos="254"/>
              </w:tabs>
              <w:ind w:left="-29" w:right="-79"/>
              <w:rPr>
                <w:rFonts w:ascii="Calibri" w:hAnsi="Calibri" w:cs="Arial"/>
              </w:rPr>
            </w:pPr>
          </w:p>
        </w:tc>
      </w:tr>
      <w:tr w:rsidR="00D23D11" w:rsidRPr="008D568E" w14:paraId="4CC6D82A" w14:textId="77777777" w:rsidTr="00D23D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1110" w14:textId="77777777" w:rsidR="00D23D11" w:rsidRDefault="00D23D11" w:rsidP="009E30D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Reversal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7E6" w14:textId="46B543AB" w:rsidR="00D23D11" w:rsidRPr="00842F2C" w:rsidRDefault="00D23D11" w:rsidP="00842F2C">
            <w:pPr>
              <w:pStyle w:val="ListParagraph"/>
              <w:ind w:left="0"/>
              <w:jc w:val="both"/>
              <w:rPr>
                <w:rFonts w:ascii="Calibri" w:hAnsi="Calibri" w:cs="Arial"/>
                <w:sz w:val="20"/>
              </w:rPr>
            </w:pPr>
            <w:r w:rsidRPr="00D23D11">
              <w:rPr>
                <w:rFonts w:ascii="Calibri" w:hAnsi="Calibri" w:cs="Arial"/>
                <w:sz w:val="20"/>
              </w:rPr>
              <w:t>If severe bleeding occurs during or within 2 hour</w:t>
            </w:r>
            <w:r w:rsidR="00EB1FED">
              <w:rPr>
                <w:rFonts w:ascii="Calibri" w:hAnsi="Calibri" w:cs="Arial"/>
                <w:sz w:val="20"/>
              </w:rPr>
              <w:t>s</w:t>
            </w:r>
            <w:r w:rsidRPr="00D23D11">
              <w:rPr>
                <w:rFonts w:ascii="Calibri" w:hAnsi="Calibri" w:cs="Arial"/>
                <w:sz w:val="20"/>
              </w:rPr>
              <w:t xml:space="preserve"> of completi</w:t>
            </w:r>
            <w:r w:rsidR="00CC7E63">
              <w:rPr>
                <w:rFonts w:ascii="Calibri" w:hAnsi="Calibri" w:cs="Arial"/>
                <w:sz w:val="20"/>
              </w:rPr>
              <w:t xml:space="preserve">ng a dialysis session with </w:t>
            </w:r>
            <w:proofErr w:type="gramStart"/>
            <w:r w:rsidR="00CC7E63">
              <w:rPr>
                <w:rFonts w:ascii="Calibri" w:hAnsi="Calibri" w:cs="Arial"/>
                <w:sz w:val="20"/>
              </w:rPr>
              <w:t>enoxa</w:t>
            </w:r>
            <w:r w:rsidRPr="00D23D11">
              <w:rPr>
                <w:rFonts w:ascii="Calibri" w:hAnsi="Calibri" w:cs="Arial"/>
                <w:sz w:val="20"/>
              </w:rPr>
              <w:t>parin</w:t>
            </w:r>
            <w:proofErr w:type="gramEnd"/>
            <w:r w:rsidRPr="00D23D11">
              <w:rPr>
                <w:rFonts w:ascii="Calibri" w:hAnsi="Calibri" w:cs="Arial"/>
                <w:sz w:val="20"/>
              </w:rPr>
              <w:t xml:space="preserve"> consider the use of protamine sulpha</w:t>
            </w:r>
            <w:r w:rsidR="00CC7E63">
              <w:rPr>
                <w:rFonts w:ascii="Calibri" w:hAnsi="Calibri" w:cs="Arial"/>
                <w:sz w:val="20"/>
              </w:rPr>
              <w:t>te as a reversal agent</w:t>
            </w:r>
            <w:r w:rsidR="00842F2C">
              <w:rPr>
                <w:rFonts w:ascii="Calibri" w:hAnsi="Calibri" w:cs="Arial"/>
                <w:sz w:val="20"/>
              </w:rPr>
              <w:t xml:space="preserve">.  This should be discussed with haematology.  </w:t>
            </w:r>
          </w:p>
        </w:tc>
      </w:tr>
    </w:tbl>
    <w:p w14:paraId="035F9349" w14:textId="77777777" w:rsidR="005F044B" w:rsidRPr="0035107A" w:rsidRDefault="005F044B">
      <w:pPr>
        <w:rPr>
          <w:rFonts w:ascii="Calibri" w:hAnsi="Calibri" w:cs="Arial"/>
          <w:sz w:val="28"/>
          <w:szCs w:val="28"/>
        </w:rPr>
      </w:pPr>
    </w:p>
    <w:sectPr w:rsidR="005F044B" w:rsidRPr="0035107A" w:rsidSect="00F27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3AE2" w14:textId="77777777" w:rsidR="009711A8" w:rsidRDefault="009711A8">
      <w:r>
        <w:separator/>
      </w:r>
    </w:p>
  </w:endnote>
  <w:endnote w:type="continuationSeparator" w:id="0">
    <w:p w14:paraId="58AAD966" w14:textId="77777777" w:rsidR="009711A8" w:rsidRDefault="0097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8EDC" w14:textId="77777777" w:rsidR="004F797B" w:rsidRDefault="004F7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E217" w14:textId="66161FD4" w:rsidR="003141D2" w:rsidRP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 w:rsidRPr="00186DAC">
      <w:rPr>
        <w:rFonts w:ascii="Calibri" w:hAnsi="Calibri"/>
        <w:b/>
        <w:i/>
        <w:sz w:val="20"/>
        <w:szCs w:val="20"/>
      </w:rPr>
      <w:t>Date written:</w:t>
    </w:r>
    <w:r>
      <w:rPr>
        <w:rFonts w:ascii="Calibri" w:hAnsi="Calibri"/>
        <w:i/>
        <w:sz w:val="20"/>
        <w:szCs w:val="20"/>
      </w:rPr>
      <w:t xml:space="preserve"> </w:t>
    </w:r>
    <w:r w:rsidR="004F797B">
      <w:rPr>
        <w:rFonts w:ascii="Calibri" w:hAnsi="Calibri"/>
        <w:i/>
        <w:sz w:val="20"/>
        <w:szCs w:val="20"/>
      </w:rPr>
      <w:t>Oct</w:t>
    </w:r>
    <w:r>
      <w:rPr>
        <w:rFonts w:ascii="Calibri" w:hAnsi="Calibri"/>
        <w:i/>
        <w:sz w:val="20"/>
        <w:szCs w:val="20"/>
      </w:rPr>
      <w:t xml:space="preserve"> 202</w:t>
    </w:r>
    <w:r w:rsidR="00CC7E63">
      <w:rPr>
        <w:rFonts w:ascii="Calibri" w:hAnsi="Calibri"/>
        <w:i/>
        <w:sz w:val="20"/>
        <w:szCs w:val="20"/>
      </w:rPr>
      <w:t>5</w:t>
    </w:r>
  </w:p>
  <w:p w14:paraId="423576C1" w14:textId="33AD103A" w:rsidR="003141D2" w:rsidRDefault="003141D2" w:rsidP="003141D2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Next Review Due</w:t>
    </w:r>
    <w:r w:rsidRPr="00186DAC">
      <w:rPr>
        <w:rFonts w:ascii="Calibri" w:hAnsi="Calibri"/>
        <w:b/>
        <w:i/>
        <w:sz w:val="20"/>
        <w:szCs w:val="20"/>
      </w:rPr>
      <w:t>:</w:t>
    </w:r>
    <w:r>
      <w:rPr>
        <w:rFonts w:ascii="Calibri" w:hAnsi="Calibri"/>
        <w:i/>
        <w:sz w:val="20"/>
        <w:szCs w:val="20"/>
      </w:rPr>
      <w:t xml:space="preserve"> </w:t>
    </w:r>
    <w:r w:rsidR="004F797B">
      <w:rPr>
        <w:rFonts w:ascii="Calibri" w:hAnsi="Calibri"/>
        <w:i/>
        <w:sz w:val="20"/>
        <w:szCs w:val="20"/>
      </w:rPr>
      <w:t>Oct</w:t>
    </w:r>
    <w:r>
      <w:rPr>
        <w:rFonts w:ascii="Calibri" w:hAnsi="Calibri"/>
        <w:i/>
        <w:sz w:val="20"/>
        <w:szCs w:val="20"/>
      </w:rPr>
      <w:t xml:space="preserve"> 202</w:t>
    </w:r>
    <w:r w:rsidR="00CC7E63">
      <w:rPr>
        <w:rFonts w:ascii="Calibri" w:hAnsi="Calibri"/>
        <w:i/>
        <w:sz w:val="20"/>
        <w:szCs w:val="20"/>
      </w:rPr>
      <w:t>8</w:t>
    </w:r>
  </w:p>
  <w:p w14:paraId="36EEE9E8" w14:textId="03D5BBED" w:rsidR="00270F18" w:rsidRDefault="00270F18" w:rsidP="003141D2">
    <w:pPr>
      <w:pStyle w:val="Footer"/>
      <w:jc w:val="righ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t>Written and Reviewed by M Davidson, W Metcalfe</w:t>
    </w:r>
  </w:p>
  <w:p w14:paraId="1819A142" w14:textId="1A42824B" w:rsidR="003141D2" w:rsidRDefault="003141D2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14:paraId="2A4C1DF8" w14:textId="77777777" w:rsidR="0090740F" w:rsidRPr="0090740F" w:rsidRDefault="0090740F" w:rsidP="0090740F">
    <w:pPr>
      <w:pStyle w:val="Footer"/>
      <w:jc w:val="right"/>
      <w:rPr>
        <w:rFonts w:ascii="Calibri" w:hAnsi="Calibri"/>
        <w:b/>
        <w:i/>
        <w:sz w:val="20"/>
        <w:szCs w:val="20"/>
      </w:rPr>
    </w:pPr>
    <w:r w:rsidRPr="0090740F">
      <w:rPr>
        <w:rFonts w:ascii="Calibri" w:hAnsi="Calibri"/>
        <w:b/>
        <w:i/>
        <w:sz w:val="20"/>
        <w:szCs w:val="20"/>
      </w:rPr>
      <w:t xml:space="preserve">page </w:t>
    </w:r>
    <w:r w:rsidR="002C5BA2" w:rsidRPr="0090740F">
      <w:rPr>
        <w:rFonts w:ascii="Calibri" w:hAnsi="Calibri"/>
        <w:b/>
        <w:i/>
        <w:sz w:val="20"/>
        <w:szCs w:val="20"/>
      </w:rPr>
      <w:fldChar w:fldCharType="begin"/>
    </w:r>
    <w:r w:rsidRPr="0090740F">
      <w:rPr>
        <w:rFonts w:ascii="Calibri" w:hAnsi="Calibri"/>
        <w:b/>
        <w:i/>
        <w:sz w:val="20"/>
        <w:szCs w:val="20"/>
      </w:rPr>
      <w:instrText xml:space="preserve"> PAGE   \* MERGEFORMAT </w:instrText>
    </w:r>
    <w:r w:rsidR="002C5BA2" w:rsidRPr="0090740F">
      <w:rPr>
        <w:rFonts w:ascii="Calibri" w:hAnsi="Calibri"/>
        <w:b/>
        <w:i/>
        <w:sz w:val="20"/>
        <w:szCs w:val="20"/>
      </w:rPr>
      <w:fldChar w:fldCharType="separate"/>
    </w:r>
    <w:r w:rsidR="00A324C6">
      <w:rPr>
        <w:rFonts w:ascii="Calibri" w:hAnsi="Calibri"/>
        <w:b/>
        <w:i/>
        <w:noProof/>
        <w:sz w:val="20"/>
        <w:szCs w:val="20"/>
      </w:rPr>
      <w:t>2</w:t>
    </w:r>
    <w:r w:rsidR="002C5BA2" w:rsidRPr="0090740F">
      <w:rPr>
        <w:rFonts w:ascii="Calibri" w:hAnsi="Calibri"/>
        <w:b/>
        <w:i/>
        <w:sz w:val="20"/>
        <w:szCs w:val="20"/>
      </w:rPr>
      <w:fldChar w:fldCharType="end"/>
    </w:r>
    <w:r w:rsidRPr="0090740F">
      <w:rPr>
        <w:rFonts w:ascii="Calibri" w:hAnsi="Calibri"/>
        <w:b/>
        <w:i/>
        <w:sz w:val="20"/>
        <w:szCs w:val="20"/>
      </w:rPr>
      <w:t xml:space="preserve"> of </w:t>
    </w:r>
    <w:fldSimple w:instr=" NUMPAGES  \* Arabic  \* MERGEFORMAT ">
      <w:r w:rsidR="00A324C6" w:rsidRPr="00A324C6">
        <w:rPr>
          <w:rFonts w:ascii="Calibri" w:hAnsi="Calibri"/>
          <w:b/>
          <w:i/>
          <w:noProof/>
          <w:sz w:val="20"/>
          <w:szCs w:val="20"/>
        </w:rPr>
        <w:t>2</w:t>
      </w:r>
    </w:fldSimple>
  </w:p>
  <w:p w14:paraId="45268763" w14:textId="77777777" w:rsidR="0090740F" w:rsidRPr="003141D2" w:rsidRDefault="0090740F" w:rsidP="003141D2">
    <w:pPr>
      <w:pStyle w:val="Footer"/>
      <w:jc w:val="right"/>
      <w:rPr>
        <w:rFonts w:ascii="Calibri" w:hAnsi="Calibri"/>
        <w:i/>
        <w:sz w:val="16"/>
        <w:szCs w:val="20"/>
      </w:rPr>
    </w:pPr>
  </w:p>
  <w:p w14:paraId="7224C810" w14:textId="77F38CCB" w:rsidR="003141D2" w:rsidRPr="003141D2" w:rsidRDefault="003141D2" w:rsidP="003141D2">
    <w:pPr>
      <w:pStyle w:val="Footer"/>
      <w:jc w:val="right"/>
      <w:rPr>
        <w:rFonts w:ascii="Calibri" w:hAnsi="Calibri"/>
        <w:i/>
        <w:sz w:val="16"/>
        <w:szCs w:val="16"/>
      </w:rPr>
    </w:pPr>
    <w:r w:rsidRPr="003141D2">
      <w:rPr>
        <w:rFonts w:ascii="Calibri" w:hAnsi="Calibri"/>
        <w:i/>
        <w:sz w:val="16"/>
        <w:szCs w:val="16"/>
      </w:rPr>
      <w:t xml:space="preserve">This document was printed on </w:t>
    </w:r>
    <w:r w:rsidR="002C5BA2" w:rsidRPr="003141D2">
      <w:rPr>
        <w:rFonts w:ascii="Calibri" w:hAnsi="Calibri"/>
        <w:i/>
        <w:sz w:val="16"/>
        <w:szCs w:val="16"/>
      </w:rPr>
      <w:fldChar w:fldCharType="begin"/>
    </w:r>
    <w:r w:rsidRPr="003141D2">
      <w:rPr>
        <w:rFonts w:ascii="Calibri" w:hAnsi="Calibri"/>
        <w:i/>
        <w:sz w:val="16"/>
        <w:szCs w:val="16"/>
      </w:rPr>
      <w:instrText xml:space="preserve"> TIME \@ "dd MMMM yyyy" </w:instrText>
    </w:r>
    <w:r w:rsidR="002C5BA2" w:rsidRPr="003141D2">
      <w:rPr>
        <w:rFonts w:ascii="Calibri" w:hAnsi="Calibri"/>
        <w:i/>
        <w:sz w:val="16"/>
        <w:szCs w:val="16"/>
      </w:rPr>
      <w:fldChar w:fldCharType="separate"/>
    </w:r>
    <w:r w:rsidR="00C74EE4">
      <w:rPr>
        <w:rFonts w:ascii="Calibri" w:hAnsi="Calibri"/>
        <w:i/>
        <w:noProof/>
        <w:sz w:val="16"/>
        <w:szCs w:val="16"/>
      </w:rPr>
      <w:t>01 October 2025</w:t>
    </w:r>
    <w:r w:rsidR="002C5BA2" w:rsidRPr="003141D2">
      <w:rPr>
        <w:rFonts w:ascii="Calibri" w:hAnsi="Calibri"/>
        <w:i/>
        <w:sz w:val="16"/>
        <w:szCs w:val="16"/>
      </w:rPr>
      <w:fldChar w:fldCharType="end"/>
    </w:r>
    <w:r w:rsidRPr="003141D2">
      <w:rPr>
        <w:rFonts w:ascii="Calibri" w:hAnsi="Calibri"/>
        <w:i/>
        <w:sz w:val="16"/>
        <w:szCs w:val="16"/>
      </w:rPr>
      <w:t xml:space="preserve">; please check </w:t>
    </w:r>
    <w:hyperlink r:id="rId1" w:history="1">
      <w:r w:rsidRPr="003141D2">
        <w:rPr>
          <w:rStyle w:val="Hyperlink"/>
          <w:rFonts w:ascii="Calibri" w:hAnsi="Calibri"/>
          <w:i/>
          <w:sz w:val="16"/>
          <w:szCs w:val="16"/>
        </w:rPr>
        <w:t>www.edren.org</w:t>
      </w:r>
    </w:hyperlink>
    <w:r w:rsidRPr="003141D2">
      <w:rPr>
        <w:rFonts w:ascii="Calibri" w:hAnsi="Calibri"/>
        <w:i/>
        <w:sz w:val="16"/>
        <w:szCs w:val="16"/>
      </w:rPr>
      <w:t xml:space="preserve"> for most up-to-date protocol.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ADDF" w14:textId="77777777" w:rsidR="004F797B" w:rsidRDefault="004F7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91FD2" w14:textId="77777777" w:rsidR="009711A8" w:rsidRDefault="009711A8">
      <w:r>
        <w:separator/>
      </w:r>
    </w:p>
  </w:footnote>
  <w:footnote w:type="continuationSeparator" w:id="0">
    <w:p w14:paraId="2FCEAD9A" w14:textId="77777777" w:rsidR="009711A8" w:rsidRDefault="0097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00572" w14:textId="77777777" w:rsidR="004F797B" w:rsidRDefault="004F7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F30A" w14:textId="77777777" w:rsidR="004F797B" w:rsidRDefault="004F7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6919" w14:textId="77777777" w:rsidR="004F797B" w:rsidRDefault="004F7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4E12"/>
    <w:multiLevelType w:val="hybridMultilevel"/>
    <w:tmpl w:val="8FB8F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7A6E"/>
    <w:multiLevelType w:val="hybridMultilevel"/>
    <w:tmpl w:val="3AD6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B51AA"/>
    <w:multiLevelType w:val="hybridMultilevel"/>
    <w:tmpl w:val="70108C3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B24AED"/>
    <w:multiLevelType w:val="hybridMultilevel"/>
    <w:tmpl w:val="3AB2104A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4" w15:restartNumberingAfterBreak="0">
    <w:nsid w:val="1CCC7274"/>
    <w:multiLevelType w:val="hybridMultilevel"/>
    <w:tmpl w:val="75C80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41CF"/>
    <w:multiLevelType w:val="hybridMultilevel"/>
    <w:tmpl w:val="3D08C726"/>
    <w:lvl w:ilvl="0" w:tplc="C09472DE">
      <w:numFmt w:val="bullet"/>
      <w:lvlText w:val="•"/>
      <w:lvlJc w:val="left"/>
      <w:pPr>
        <w:ind w:left="331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6" w15:restartNumberingAfterBreak="0">
    <w:nsid w:val="438A34B1"/>
    <w:multiLevelType w:val="hybridMultilevel"/>
    <w:tmpl w:val="413E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D759E"/>
    <w:multiLevelType w:val="hybridMultilevel"/>
    <w:tmpl w:val="0A84C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D3E07"/>
    <w:multiLevelType w:val="hybridMultilevel"/>
    <w:tmpl w:val="A5D2FEF2"/>
    <w:lvl w:ilvl="0" w:tplc="08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 w15:restartNumberingAfterBreak="0">
    <w:nsid w:val="7E3E6E3F"/>
    <w:multiLevelType w:val="hybridMultilevel"/>
    <w:tmpl w:val="5CB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88503">
    <w:abstractNumId w:val="2"/>
  </w:num>
  <w:num w:numId="2" w16cid:durableId="1599944972">
    <w:abstractNumId w:val="0"/>
  </w:num>
  <w:num w:numId="3" w16cid:durableId="438909677">
    <w:abstractNumId w:val="4"/>
  </w:num>
  <w:num w:numId="4" w16cid:durableId="1136604053">
    <w:abstractNumId w:val="6"/>
  </w:num>
  <w:num w:numId="5" w16cid:durableId="1484850951">
    <w:abstractNumId w:val="1"/>
  </w:num>
  <w:num w:numId="6" w16cid:durableId="1017267728">
    <w:abstractNumId w:val="9"/>
  </w:num>
  <w:num w:numId="7" w16cid:durableId="2143115714">
    <w:abstractNumId w:val="7"/>
  </w:num>
  <w:num w:numId="8" w16cid:durableId="731275549">
    <w:abstractNumId w:val="8"/>
  </w:num>
  <w:num w:numId="9" w16cid:durableId="69892773">
    <w:abstractNumId w:val="3"/>
  </w:num>
  <w:num w:numId="10" w16cid:durableId="127015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07A"/>
    <w:rsid w:val="00023D71"/>
    <w:rsid w:val="00082BBD"/>
    <w:rsid w:val="00090FA3"/>
    <w:rsid w:val="00091619"/>
    <w:rsid w:val="000C15F1"/>
    <w:rsid w:val="000E2408"/>
    <w:rsid w:val="000E6548"/>
    <w:rsid w:val="000E6E80"/>
    <w:rsid w:val="00160F26"/>
    <w:rsid w:val="00162578"/>
    <w:rsid w:val="00173689"/>
    <w:rsid w:val="00186DAC"/>
    <w:rsid w:val="00190C0E"/>
    <w:rsid w:val="001A0FE3"/>
    <w:rsid w:val="001B6582"/>
    <w:rsid w:val="001F184C"/>
    <w:rsid w:val="001F7CCD"/>
    <w:rsid w:val="00202975"/>
    <w:rsid w:val="00225B81"/>
    <w:rsid w:val="00265B19"/>
    <w:rsid w:val="00270F18"/>
    <w:rsid w:val="00286AA7"/>
    <w:rsid w:val="00293B7B"/>
    <w:rsid w:val="002A1B2B"/>
    <w:rsid w:val="002C5BA2"/>
    <w:rsid w:val="002D460B"/>
    <w:rsid w:val="00305AC2"/>
    <w:rsid w:val="003141D2"/>
    <w:rsid w:val="00321B35"/>
    <w:rsid w:val="003273E1"/>
    <w:rsid w:val="003407C5"/>
    <w:rsid w:val="00342D85"/>
    <w:rsid w:val="00350B93"/>
    <w:rsid w:val="0035107A"/>
    <w:rsid w:val="0036517C"/>
    <w:rsid w:val="003A6E9E"/>
    <w:rsid w:val="003B4A19"/>
    <w:rsid w:val="003C483B"/>
    <w:rsid w:val="00427C55"/>
    <w:rsid w:val="00435BBF"/>
    <w:rsid w:val="004427A4"/>
    <w:rsid w:val="00462756"/>
    <w:rsid w:val="004E6F1D"/>
    <w:rsid w:val="004F797B"/>
    <w:rsid w:val="00535C42"/>
    <w:rsid w:val="00547ED1"/>
    <w:rsid w:val="00584AC4"/>
    <w:rsid w:val="005852F5"/>
    <w:rsid w:val="005A4A25"/>
    <w:rsid w:val="005B056B"/>
    <w:rsid w:val="005B6146"/>
    <w:rsid w:val="005C698A"/>
    <w:rsid w:val="005F044B"/>
    <w:rsid w:val="00615CF2"/>
    <w:rsid w:val="0062055E"/>
    <w:rsid w:val="00653258"/>
    <w:rsid w:val="00665703"/>
    <w:rsid w:val="00710221"/>
    <w:rsid w:val="00743E14"/>
    <w:rsid w:val="00744450"/>
    <w:rsid w:val="00753EE1"/>
    <w:rsid w:val="00757560"/>
    <w:rsid w:val="00761662"/>
    <w:rsid w:val="007639D7"/>
    <w:rsid w:val="007A7E70"/>
    <w:rsid w:val="007C3290"/>
    <w:rsid w:val="007E270E"/>
    <w:rsid w:val="007F1988"/>
    <w:rsid w:val="008067C9"/>
    <w:rsid w:val="008145BE"/>
    <w:rsid w:val="00823D6C"/>
    <w:rsid w:val="00837406"/>
    <w:rsid w:val="00842F2C"/>
    <w:rsid w:val="00843EEA"/>
    <w:rsid w:val="00870C3D"/>
    <w:rsid w:val="00870E5D"/>
    <w:rsid w:val="008776DE"/>
    <w:rsid w:val="008A5BA6"/>
    <w:rsid w:val="008A6538"/>
    <w:rsid w:val="008C2429"/>
    <w:rsid w:val="008C7A93"/>
    <w:rsid w:val="008C7B2E"/>
    <w:rsid w:val="008D568E"/>
    <w:rsid w:val="008E09CB"/>
    <w:rsid w:val="008F14CE"/>
    <w:rsid w:val="008F40E0"/>
    <w:rsid w:val="009007B7"/>
    <w:rsid w:val="0090740F"/>
    <w:rsid w:val="00914688"/>
    <w:rsid w:val="009463FF"/>
    <w:rsid w:val="009711A8"/>
    <w:rsid w:val="00972E28"/>
    <w:rsid w:val="0098553F"/>
    <w:rsid w:val="009E3084"/>
    <w:rsid w:val="009E30D2"/>
    <w:rsid w:val="00A04FB3"/>
    <w:rsid w:val="00A324C6"/>
    <w:rsid w:val="00A34F56"/>
    <w:rsid w:val="00A378FB"/>
    <w:rsid w:val="00A4303E"/>
    <w:rsid w:val="00A71505"/>
    <w:rsid w:val="00A85095"/>
    <w:rsid w:val="00A8712D"/>
    <w:rsid w:val="00AE3CD2"/>
    <w:rsid w:val="00B13A0F"/>
    <w:rsid w:val="00B62256"/>
    <w:rsid w:val="00B85BAC"/>
    <w:rsid w:val="00BA2823"/>
    <w:rsid w:val="00BC42D0"/>
    <w:rsid w:val="00BD5B29"/>
    <w:rsid w:val="00BE3EC9"/>
    <w:rsid w:val="00BF44DD"/>
    <w:rsid w:val="00BF70E6"/>
    <w:rsid w:val="00C305F6"/>
    <w:rsid w:val="00C74EE4"/>
    <w:rsid w:val="00C849D8"/>
    <w:rsid w:val="00CA1BC0"/>
    <w:rsid w:val="00CB5503"/>
    <w:rsid w:val="00CC7E63"/>
    <w:rsid w:val="00CE4E83"/>
    <w:rsid w:val="00D20563"/>
    <w:rsid w:val="00D23D11"/>
    <w:rsid w:val="00D538DC"/>
    <w:rsid w:val="00D54D79"/>
    <w:rsid w:val="00D61F18"/>
    <w:rsid w:val="00D62D8A"/>
    <w:rsid w:val="00D7277C"/>
    <w:rsid w:val="00DA0F7B"/>
    <w:rsid w:val="00E12BDD"/>
    <w:rsid w:val="00E35485"/>
    <w:rsid w:val="00E5750E"/>
    <w:rsid w:val="00E6232B"/>
    <w:rsid w:val="00EA5478"/>
    <w:rsid w:val="00EB1224"/>
    <w:rsid w:val="00EB1FED"/>
    <w:rsid w:val="00EC436C"/>
    <w:rsid w:val="00ED237E"/>
    <w:rsid w:val="00EE45BC"/>
    <w:rsid w:val="00EF4518"/>
    <w:rsid w:val="00F01B82"/>
    <w:rsid w:val="00F27F20"/>
    <w:rsid w:val="00F73D86"/>
    <w:rsid w:val="00F80228"/>
    <w:rsid w:val="00FA3A96"/>
    <w:rsid w:val="00FB22F0"/>
    <w:rsid w:val="00FC6D89"/>
    <w:rsid w:val="00F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50515"/>
  <w15:docId w15:val="{5DAD85C8-3C24-4619-A7AB-3D928D14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27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DC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8022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DC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62578"/>
    <w:pPr>
      <w:ind w:left="720"/>
      <w:contextualSpacing/>
    </w:pPr>
  </w:style>
  <w:style w:type="paragraph" w:styleId="BlockText">
    <w:name w:val="Block Text"/>
    <w:basedOn w:val="Normal"/>
    <w:uiPriority w:val="99"/>
    <w:rsid w:val="00E5750E"/>
    <w:pPr>
      <w:tabs>
        <w:tab w:val="left" w:pos="1080"/>
      </w:tabs>
      <w:ind w:left="720" w:right="386"/>
      <w:jc w:val="both"/>
    </w:pPr>
  </w:style>
  <w:style w:type="paragraph" w:styleId="BalloonText">
    <w:name w:val="Balloon Text"/>
    <w:basedOn w:val="Normal"/>
    <w:link w:val="BalloonTextChar"/>
    <w:rsid w:val="00972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2E28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427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27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0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3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8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Vascular Surgery guidelines</vt:lpstr>
    </vt:vector>
  </TitlesOfParts>
  <Company>LUHD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Surgery guidelines</dc:title>
  <dc:creator>jinwerne.hah</dc:creator>
  <cp:lastModifiedBy>Metcalfe, Wendy</cp:lastModifiedBy>
  <cp:revision>5</cp:revision>
  <cp:lastPrinted>2017-05-31T17:21:00Z</cp:lastPrinted>
  <dcterms:created xsi:type="dcterms:W3CDTF">2025-10-01T12:01:00Z</dcterms:created>
  <dcterms:modified xsi:type="dcterms:W3CDTF">2025-10-01T13:48:00Z</dcterms:modified>
</cp:coreProperties>
</file>