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407"/>
        <w:tblW w:w="9747" w:type="dxa"/>
        <w:tblBorders>
          <w:bottom w:val="single" w:sz="4" w:space="0" w:color="auto"/>
          <w:insideH w:val="single" w:sz="4" w:space="0" w:color="auto"/>
          <w:insideV w:val="single" w:sz="4" w:space="0" w:color="auto"/>
        </w:tblBorders>
        <w:tblLook w:val="01E0" w:firstRow="1" w:lastRow="1" w:firstColumn="1" w:lastColumn="1" w:noHBand="0" w:noVBand="0"/>
      </w:tblPr>
      <w:tblGrid>
        <w:gridCol w:w="9747"/>
      </w:tblGrid>
      <w:tr w:rsidR="005F044B" w14:paraId="0D913E50" w14:textId="77777777" w:rsidTr="00F27F20">
        <w:trPr>
          <w:trHeight w:val="1258"/>
        </w:trPr>
        <w:tc>
          <w:tcPr>
            <w:tcW w:w="9747" w:type="dxa"/>
          </w:tcPr>
          <w:p w14:paraId="6CECE28D" w14:textId="77777777" w:rsidR="005F044B" w:rsidRDefault="005F044B" w:rsidP="00972E28">
            <w:pPr>
              <w:rPr>
                <w:rFonts w:ascii="Calibri" w:hAnsi="Calibri" w:cs="Arial"/>
                <w:sz w:val="28"/>
                <w:szCs w:val="28"/>
              </w:rPr>
            </w:pPr>
            <w:r>
              <w:rPr>
                <w:rFonts w:ascii="Calibri" w:hAnsi="Calibri" w:cs="Arial"/>
                <w:sz w:val="28"/>
                <w:szCs w:val="28"/>
              </w:rPr>
              <w:t>Renal Directorate Guidelines</w:t>
            </w:r>
          </w:p>
          <w:p w14:paraId="56BC36DA" w14:textId="77777777" w:rsidR="005F044B" w:rsidRPr="00972E28" w:rsidRDefault="005F044B" w:rsidP="00F27F20">
            <w:pPr>
              <w:ind w:right="-433"/>
              <w:rPr>
                <w:rFonts w:ascii="Calibri" w:hAnsi="Calibri" w:cs="Arial"/>
                <w:sz w:val="28"/>
                <w:szCs w:val="28"/>
              </w:rPr>
            </w:pPr>
            <w:r>
              <w:rPr>
                <w:rFonts w:ascii="Calibri" w:hAnsi="Calibri" w:cs="Arial"/>
                <w:sz w:val="28"/>
                <w:szCs w:val="28"/>
              </w:rPr>
              <w:t>Royal Infirmary of Edinburgh</w:t>
            </w:r>
          </w:p>
        </w:tc>
      </w:tr>
    </w:tbl>
    <w:p w14:paraId="181032DF" w14:textId="77777777" w:rsidR="005F044B" w:rsidRDefault="00F27F20" w:rsidP="00F27F20">
      <w:pPr>
        <w:ind w:left="-142"/>
        <w:rPr>
          <w:rFonts w:ascii="Calibri" w:hAnsi="Calibri" w:cs="Arial"/>
          <w:b/>
          <w:sz w:val="32"/>
          <w:szCs w:val="32"/>
        </w:rPr>
      </w:pPr>
      <w:r>
        <w:rPr>
          <w:rFonts w:ascii="Calibri" w:hAnsi="Calibri" w:cs="Arial"/>
          <w:b/>
          <w:noProof/>
          <w:sz w:val="32"/>
          <w:szCs w:val="32"/>
          <w:lang w:eastAsia="en-GB"/>
        </w:rPr>
        <w:drawing>
          <wp:anchor distT="0" distB="0" distL="114300" distR="114300" simplePos="0" relativeHeight="251657728" behindDoc="0" locked="0" layoutInCell="1" allowOverlap="1" wp14:anchorId="4CD0427D" wp14:editId="6C9381E9">
            <wp:simplePos x="0" y="0"/>
            <wp:positionH relativeFrom="column">
              <wp:posOffset>5091430</wp:posOffset>
            </wp:positionH>
            <wp:positionV relativeFrom="paragraph">
              <wp:posOffset>-315595</wp:posOffset>
            </wp:positionV>
            <wp:extent cx="876300" cy="691515"/>
            <wp:effectExtent l="19050" t="0" r="0" b="0"/>
            <wp:wrapTight wrapText="bothSides">
              <wp:wrapPolygon edited="0">
                <wp:start x="-470" y="0"/>
                <wp:lineTo x="-470" y="20826"/>
                <wp:lineTo x="21600" y="20826"/>
                <wp:lineTo x="21600" y="0"/>
                <wp:lineTo x="-47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t="13043" b="8188"/>
                    <a:stretch>
                      <a:fillRect/>
                    </a:stretch>
                  </pic:blipFill>
                  <pic:spPr bwMode="auto">
                    <a:xfrm>
                      <a:off x="0" y="0"/>
                      <a:ext cx="876300" cy="691515"/>
                    </a:xfrm>
                    <a:prstGeom prst="rect">
                      <a:avLst/>
                    </a:prstGeom>
                    <a:noFill/>
                    <a:ln w="9525">
                      <a:noFill/>
                      <a:miter lim="800000"/>
                      <a:headEnd/>
                      <a:tailEnd/>
                    </a:ln>
                  </pic:spPr>
                </pic:pic>
              </a:graphicData>
            </a:graphic>
          </wp:anchor>
        </w:drawing>
      </w:r>
      <w:r w:rsidR="004D6F87">
        <w:rPr>
          <w:rFonts w:ascii="Calibri" w:hAnsi="Calibri" w:cs="Arial"/>
          <w:b/>
          <w:noProof/>
          <w:sz w:val="32"/>
          <w:szCs w:val="32"/>
          <w:lang w:eastAsia="en-GB"/>
        </w:rPr>
        <w:t>Acute Coronary Syndrome Protocol</w:t>
      </w:r>
    </w:p>
    <w:p w14:paraId="407C4424" w14:textId="77777777" w:rsidR="00A04FB3" w:rsidRPr="00265B19" w:rsidRDefault="00A04FB3" w:rsidP="00054BAE">
      <w:pPr>
        <w:ind w:left="-142"/>
      </w:pPr>
    </w:p>
    <w:p w14:paraId="7A4EFC94" w14:textId="5E33FA6C" w:rsidR="004D6F87" w:rsidRPr="007E5D5E" w:rsidRDefault="004D6F87" w:rsidP="00054BAE">
      <w:pPr>
        <w:ind w:left="-142"/>
        <w:rPr>
          <w:rFonts w:ascii="Calibri" w:hAnsi="Calibri" w:cs="Arial"/>
          <w:sz w:val="22"/>
          <w:szCs w:val="22"/>
        </w:rPr>
      </w:pPr>
      <w:r w:rsidRPr="007E5D5E">
        <w:rPr>
          <w:rFonts w:ascii="Calibri" w:hAnsi="Calibri" w:cs="Arial"/>
          <w:sz w:val="22"/>
          <w:szCs w:val="22"/>
        </w:rPr>
        <w:t xml:space="preserve">Guidelines for the treatment of acute coronary syndromes in patients with </w:t>
      </w:r>
      <w:r w:rsidR="00054BAE" w:rsidRPr="007E5D5E">
        <w:rPr>
          <w:rFonts w:ascii="Calibri" w:hAnsi="Calibri" w:cs="Arial"/>
          <w:sz w:val="22"/>
          <w:szCs w:val="22"/>
        </w:rPr>
        <w:t xml:space="preserve">advanced </w:t>
      </w:r>
      <w:r w:rsidRPr="007E5D5E">
        <w:rPr>
          <w:rFonts w:ascii="Calibri" w:hAnsi="Calibri" w:cs="Arial"/>
          <w:sz w:val="22"/>
          <w:szCs w:val="22"/>
        </w:rPr>
        <w:t>chronic kidney disease</w:t>
      </w:r>
      <w:r w:rsidR="00054BAE" w:rsidRPr="007E5D5E">
        <w:rPr>
          <w:rFonts w:ascii="Calibri" w:hAnsi="Calibri" w:cs="Arial"/>
          <w:sz w:val="22"/>
          <w:szCs w:val="22"/>
        </w:rPr>
        <w:t xml:space="preserve">.  </w:t>
      </w:r>
      <w:r w:rsidR="007E5D5E">
        <w:rPr>
          <w:rFonts w:ascii="Calibri" w:hAnsi="Calibri" w:cs="Arial"/>
          <w:sz w:val="22"/>
          <w:szCs w:val="22"/>
        </w:rPr>
        <w:t xml:space="preserve">This guidance supplements the NHS Lothian ACS and anti-thrombotic protocols.  It aims to suggest how medications might need to be adjusted for patients with advanced CKD.  </w:t>
      </w:r>
    </w:p>
    <w:p w14:paraId="433CC25C" w14:textId="77777777" w:rsidR="004D6F87" w:rsidRPr="007E5D5E" w:rsidRDefault="004D6F87" w:rsidP="00054BAE">
      <w:pPr>
        <w:ind w:left="-142"/>
        <w:rPr>
          <w:rFonts w:ascii="Calibri" w:hAnsi="Calibri" w:cs="Arial"/>
          <w:sz w:val="22"/>
          <w:szCs w:val="22"/>
        </w:rPr>
      </w:pPr>
    </w:p>
    <w:p w14:paraId="732D05AB" w14:textId="77777777" w:rsidR="00054BAE" w:rsidRPr="007E5D5E" w:rsidRDefault="00054BAE" w:rsidP="00054BAE">
      <w:pPr>
        <w:ind w:left="-142"/>
        <w:rPr>
          <w:rFonts w:ascii="Calibri" w:hAnsi="Calibri" w:cs="Arial"/>
          <w:sz w:val="22"/>
          <w:szCs w:val="22"/>
        </w:rPr>
      </w:pPr>
    </w:p>
    <w:p w14:paraId="213F5E4B" w14:textId="15AEC38C" w:rsidR="004D6F87" w:rsidRPr="00384F4A" w:rsidRDefault="004D6F87" w:rsidP="00054BAE">
      <w:pPr>
        <w:ind w:left="-142"/>
        <w:rPr>
          <w:rFonts w:ascii="Calibri" w:hAnsi="Calibri" w:cs="Arial"/>
          <w:b/>
        </w:rPr>
      </w:pPr>
      <w:r w:rsidRPr="00384F4A">
        <w:rPr>
          <w:rFonts w:ascii="Calibri" w:hAnsi="Calibri" w:cs="Arial"/>
          <w:b/>
        </w:rPr>
        <w:t xml:space="preserve">Medications for immediate management of acute coronary syndromes in </w:t>
      </w:r>
      <w:r w:rsidR="007E5D5E" w:rsidRPr="00384F4A">
        <w:rPr>
          <w:rFonts w:ascii="Calibri" w:hAnsi="Calibri" w:cs="Arial"/>
          <w:b/>
        </w:rPr>
        <w:t>CKD</w:t>
      </w:r>
      <w:r w:rsidRPr="00384F4A">
        <w:rPr>
          <w:rFonts w:ascii="Calibri" w:hAnsi="Calibri" w:cs="Arial"/>
          <w:b/>
        </w:rPr>
        <w:t>:</w:t>
      </w:r>
    </w:p>
    <w:p w14:paraId="09619DB0" w14:textId="77777777" w:rsidR="00054BAE" w:rsidRPr="007E5D5E" w:rsidRDefault="00054BAE" w:rsidP="00054BAE">
      <w:pPr>
        <w:ind w:left="-142"/>
        <w:rPr>
          <w:rFonts w:ascii="Calibri" w:hAnsi="Calibri" w:cs="Arial"/>
          <w:sz w:val="22"/>
          <w:szCs w:val="22"/>
        </w:rPr>
      </w:pPr>
    </w:p>
    <w:tbl>
      <w:tblPr>
        <w:tblStyle w:val="TableGrid"/>
        <w:tblW w:w="9224" w:type="dxa"/>
        <w:jc w:val="center"/>
        <w:tblLayout w:type="fixed"/>
        <w:tblLook w:val="04A0" w:firstRow="1" w:lastRow="0" w:firstColumn="1" w:lastColumn="0" w:noHBand="0" w:noVBand="1"/>
      </w:tblPr>
      <w:tblGrid>
        <w:gridCol w:w="1233"/>
        <w:gridCol w:w="1418"/>
        <w:gridCol w:w="1559"/>
        <w:gridCol w:w="2034"/>
        <w:gridCol w:w="1490"/>
        <w:gridCol w:w="1490"/>
      </w:tblGrid>
      <w:tr w:rsidR="00054BAE" w:rsidRPr="00C7509F" w14:paraId="322B5474" w14:textId="77777777" w:rsidTr="007E5D5E">
        <w:trPr>
          <w:trHeight w:val="634"/>
          <w:jc w:val="center"/>
        </w:trPr>
        <w:tc>
          <w:tcPr>
            <w:tcW w:w="1233" w:type="dxa"/>
          </w:tcPr>
          <w:p w14:paraId="06E547FC" w14:textId="77777777" w:rsidR="00054BAE" w:rsidRPr="00C7509F" w:rsidRDefault="00054BAE" w:rsidP="00EF6AF5"/>
        </w:tc>
        <w:tc>
          <w:tcPr>
            <w:tcW w:w="1418" w:type="dxa"/>
            <w:vAlign w:val="center"/>
          </w:tcPr>
          <w:p w14:paraId="2507307E" w14:textId="77777777" w:rsidR="00054BAE" w:rsidRPr="00054BAE" w:rsidRDefault="00054BAE" w:rsidP="00EF6AF5">
            <w:pPr>
              <w:jc w:val="center"/>
              <w:rPr>
                <w:b/>
              </w:rPr>
            </w:pPr>
            <w:r w:rsidRPr="00054BAE">
              <w:rPr>
                <w:b/>
              </w:rPr>
              <w:t>Aspirin</w:t>
            </w:r>
          </w:p>
        </w:tc>
        <w:tc>
          <w:tcPr>
            <w:tcW w:w="1559" w:type="dxa"/>
            <w:vAlign w:val="center"/>
          </w:tcPr>
          <w:p w14:paraId="1FDC101E" w14:textId="77777777" w:rsidR="00054BAE" w:rsidRPr="00054BAE" w:rsidRDefault="00054BAE" w:rsidP="00EF6AF5">
            <w:pPr>
              <w:jc w:val="center"/>
              <w:rPr>
                <w:b/>
              </w:rPr>
            </w:pPr>
            <w:r w:rsidRPr="00054BAE">
              <w:rPr>
                <w:b/>
              </w:rPr>
              <w:t>Additional anti-platelet</w:t>
            </w:r>
          </w:p>
        </w:tc>
        <w:tc>
          <w:tcPr>
            <w:tcW w:w="2034" w:type="dxa"/>
            <w:vAlign w:val="center"/>
          </w:tcPr>
          <w:p w14:paraId="5863072B" w14:textId="31FCFA55" w:rsidR="00054BAE" w:rsidRPr="00054BAE" w:rsidRDefault="00054BAE" w:rsidP="00EF6AF5">
            <w:pPr>
              <w:jc w:val="center"/>
              <w:rPr>
                <w:b/>
              </w:rPr>
            </w:pPr>
            <w:proofErr w:type="spellStart"/>
            <w:r w:rsidRPr="00054BAE">
              <w:rPr>
                <w:b/>
              </w:rPr>
              <w:t>ACEi</w:t>
            </w:r>
            <w:proofErr w:type="spellEnd"/>
            <w:r w:rsidR="00C76518">
              <w:rPr>
                <w:b/>
              </w:rPr>
              <w:t xml:space="preserve"> / ARB</w:t>
            </w:r>
          </w:p>
        </w:tc>
        <w:tc>
          <w:tcPr>
            <w:tcW w:w="1490" w:type="dxa"/>
            <w:vAlign w:val="center"/>
          </w:tcPr>
          <w:p w14:paraId="6A16E645" w14:textId="77777777" w:rsidR="00054BAE" w:rsidRPr="00054BAE" w:rsidRDefault="00054BAE" w:rsidP="00EF6AF5">
            <w:pPr>
              <w:jc w:val="center"/>
              <w:rPr>
                <w:b/>
              </w:rPr>
            </w:pPr>
            <w:r w:rsidRPr="00054BAE">
              <w:rPr>
                <w:b/>
              </w:rPr>
              <w:t>Beta-blocker</w:t>
            </w:r>
          </w:p>
        </w:tc>
        <w:tc>
          <w:tcPr>
            <w:tcW w:w="1490" w:type="dxa"/>
            <w:vAlign w:val="center"/>
          </w:tcPr>
          <w:p w14:paraId="0B8CC341" w14:textId="77777777" w:rsidR="00054BAE" w:rsidRPr="00054BAE" w:rsidRDefault="00054BAE" w:rsidP="00EF6AF5">
            <w:pPr>
              <w:jc w:val="center"/>
              <w:rPr>
                <w:b/>
              </w:rPr>
            </w:pPr>
            <w:r w:rsidRPr="00054BAE">
              <w:rPr>
                <w:b/>
              </w:rPr>
              <w:t>Statin</w:t>
            </w:r>
          </w:p>
        </w:tc>
      </w:tr>
      <w:tr w:rsidR="007E5D5E" w:rsidRPr="0093564C" w14:paraId="01E255D8" w14:textId="77777777" w:rsidTr="007E5D5E">
        <w:trPr>
          <w:trHeight w:val="2264"/>
          <w:jc w:val="center"/>
        </w:trPr>
        <w:tc>
          <w:tcPr>
            <w:tcW w:w="1233" w:type="dxa"/>
            <w:vAlign w:val="center"/>
          </w:tcPr>
          <w:p w14:paraId="4353B6B0" w14:textId="77777777" w:rsidR="007E5D5E" w:rsidRPr="00054BAE" w:rsidRDefault="007E5D5E" w:rsidP="00EF6AF5">
            <w:pPr>
              <w:jc w:val="center"/>
              <w:rPr>
                <w:b/>
              </w:rPr>
            </w:pPr>
            <w:r w:rsidRPr="00054BAE">
              <w:rPr>
                <w:b/>
              </w:rPr>
              <w:t>eGFR</w:t>
            </w:r>
          </w:p>
          <w:p w14:paraId="7D9461E3" w14:textId="57F94875" w:rsidR="007E5D5E" w:rsidRPr="00054BAE" w:rsidRDefault="007E5D5E" w:rsidP="00EF6AF5">
            <w:pPr>
              <w:jc w:val="center"/>
              <w:rPr>
                <w:b/>
              </w:rPr>
            </w:pPr>
            <w:r>
              <w:rPr>
                <w:b/>
              </w:rPr>
              <w:t>2</w:t>
            </w:r>
            <w:r w:rsidRPr="00054BAE">
              <w:rPr>
                <w:b/>
              </w:rPr>
              <w:t>0-60</w:t>
            </w:r>
          </w:p>
          <w:p w14:paraId="407C4D82" w14:textId="77777777" w:rsidR="007E5D5E" w:rsidRPr="00054BAE" w:rsidRDefault="007E5D5E" w:rsidP="00EF6AF5">
            <w:pPr>
              <w:jc w:val="center"/>
              <w:rPr>
                <w:b/>
              </w:rPr>
            </w:pPr>
          </w:p>
        </w:tc>
        <w:tc>
          <w:tcPr>
            <w:tcW w:w="1418" w:type="dxa"/>
            <w:vMerge w:val="restart"/>
            <w:vAlign w:val="center"/>
          </w:tcPr>
          <w:p w14:paraId="7BB63A6E" w14:textId="77777777" w:rsidR="007E5D5E" w:rsidRPr="0093564C" w:rsidRDefault="007E5D5E" w:rsidP="00EF6AF5">
            <w:pPr>
              <w:jc w:val="center"/>
            </w:pPr>
            <w:r>
              <w:t>A</w:t>
            </w:r>
            <w:r w:rsidRPr="0093564C">
              <w:t xml:space="preserve">spirin </w:t>
            </w:r>
            <w:r>
              <w:t xml:space="preserve">300mg </w:t>
            </w:r>
            <w:r w:rsidRPr="0093564C">
              <w:t>stat.</w:t>
            </w:r>
            <w:r>
              <w:t xml:space="preserve"> then</w:t>
            </w:r>
          </w:p>
          <w:p w14:paraId="18EC95BC" w14:textId="77777777" w:rsidR="007E5D5E" w:rsidRPr="0093564C" w:rsidRDefault="007E5D5E" w:rsidP="00054BAE">
            <w:pPr>
              <w:jc w:val="center"/>
            </w:pPr>
            <w:r w:rsidRPr="0093564C">
              <w:t xml:space="preserve">75mg </w:t>
            </w:r>
            <w:r>
              <w:t>once daily</w:t>
            </w:r>
          </w:p>
        </w:tc>
        <w:tc>
          <w:tcPr>
            <w:tcW w:w="1559" w:type="dxa"/>
            <w:vMerge w:val="restart"/>
            <w:vAlign w:val="center"/>
          </w:tcPr>
          <w:p w14:paraId="473905DE" w14:textId="3D06B3D7" w:rsidR="007E5D5E" w:rsidRDefault="007E5D5E" w:rsidP="00EF6AF5">
            <w:pPr>
              <w:jc w:val="center"/>
            </w:pPr>
            <w:r>
              <w:t>Clopidogrel 300mg stat. then 75mg once daily</w:t>
            </w:r>
          </w:p>
          <w:p w14:paraId="71A2F4CE" w14:textId="77777777" w:rsidR="007E5D5E" w:rsidRDefault="007E5D5E" w:rsidP="00EF6AF5">
            <w:pPr>
              <w:jc w:val="center"/>
            </w:pPr>
          </w:p>
          <w:p w14:paraId="139676E7" w14:textId="77777777" w:rsidR="007E5D5E" w:rsidRPr="0093564C" w:rsidRDefault="007E5D5E" w:rsidP="00EF6AF5">
            <w:pPr>
              <w:jc w:val="center"/>
            </w:pPr>
            <w:r>
              <w:t>See note 1 below</w:t>
            </w:r>
          </w:p>
        </w:tc>
        <w:tc>
          <w:tcPr>
            <w:tcW w:w="2034" w:type="dxa"/>
            <w:vAlign w:val="center"/>
          </w:tcPr>
          <w:p w14:paraId="0E5C3D55" w14:textId="2D5419E4" w:rsidR="007E5D5E" w:rsidRPr="0093564C" w:rsidRDefault="007E5D5E" w:rsidP="00EF6AF5">
            <w:pPr>
              <w:jc w:val="center"/>
            </w:pPr>
            <w:proofErr w:type="spellStart"/>
            <w:r>
              <w:t>ACEi</w:t>
            </w:r>
            <w:proofErr w:type="spellEnd"/>
            <w:r>
              <w:t xml:space="preserve"> or ARB as per formulary; monitor eGFR, K+ and blood pressure</w:t>
            </w:r>
          </w:p>
        </w:tc>
        <w:tc>
          <w:tcPr>
            <w:tcW w:w="1490" w:type="dxa"/>
            <w:vMerge w:val="restart"/>
            <w:vAlign w:val="center"/>
          </w:tcPr>
          <w:p w14:paraId="4AABE596" w14:textId="18180113" w:rsidR="007E5D5E" w:rsidRDefault="007E5D5E" w:rsidP="00EF6AF5">
            <w:pPr>
              <w:jc w:val="center"/>
            </w:pPr>
            <w:r>
              <w:t>Bisoprolol is first choice on formulary.</w:t>
            </w:r>
          </w:p>
          <w:p w14:paraId="2119402C" w14:textId="77777777" w:rsidR="007E5D5E" w:rsidRDefault="007E5D5E" w:rsidP="00EF6AF5">
            <w:pPr>
              <w:jc w:val="center"/>
            </w:pPr>
          </w:p>
          <w:p w14:paraId="1FB743D7" w14:textId="76F81783" w:rsidR="007E5D5E" w:rsidRPr="0093564C" w:rsidRDefault="007E5D5E" w:rsidP="00054BAE">
            <w:pPr>
              <w:jc w:val="center"/>
            </w:pPr>
            <w:r>
              <w:t>Target</w:t>
            </w:r>
            <w:r w:rsidRPr="0093564C">
              <w:t xml:space="preserve"> HR &lt;70/min</w:t>
            </w:r>
            <w:r>
              <w:t xml:space="preserve">.  </w:t>
            </w:r>
          </w:p>
        </w:tc>
        <w:tc>
          <w:tcPr>
            <w:tcW w:w="1490" w:type="dxa"/>
            <w:vMerge w:val="restart"/>
            <w:vAlign w:val="center"/>
          </w:tcPr>
          <w:p w14:paraId="54B25649" w14:textId="77777777" w:rsidR="007E5D5E" w:rsidRDefault="007E5D5E" w:rsidP="00EF6AF5">
            <w:pPr>
              <w:jc w:val="center"/>
            </w:pPr>
            <w:r>
              <w:t>Atorvastatin 20mg and check baseline CK + LFTs.</w:t>
            </w:r>
          </w:p>
          <w:p w14:paraId="58A51DC9" w14:textId="77777777" w:rsidR="007E5D5E" w:rsidRDefault="007E5D5E" w:rsidP="00EF6AF5">
            <w:pPr>
              <w:jc w:val="center"/>
            </w:pPr>
          </w:p>
          <w:p w14:paraId="51749E1B" w14:textId="2DE4F900" w:rsidR="007E5D5E" w:rsidRPr="0093564C" w:rsidRDefault="007E5D5E" w:rsidP="00EF6AF5">
            <w:pPr>
              <w:jc w:val="center"/>
            </w:pPr>
            <w:r>
              <w:t>If tolerated, increase to 80mg.</w:t>
            </w:r>
          </w:p>
        </w:tc>
      </w:tr>
      <w:tr w:rsidR="00054BAE" w:rsidRPr="0093564C" w14:paraId="0BF31410" w14:textId="77777777" w:rsidTr="007E5D5E">
        <w:trPr>
          <w:trHeight w:val="1134"/>
          <w:jc w:val="center"/>
        </w:trPr>
        <w:tc>
          <w:tcPr>
            <w:tcW w:w="1233" w:type="dxa"/>
            <w:vAlign w:val="center"/>
          </w:tcPr>
          <w:p w14:paraId="0FD0E4CF" w14:textId="77777777" w:rsidR="00054BAE" w:rsidRPr="00054BAE" w:rsidRDefault="00054BAE" w:rsidP="00EF6AF5">
            <w:pPr>
              <w:jc w:val="center"/>
              <w:rPr>
                <w:b/>
              </w:rPr>
            </w:pPr>
            <w:r w:rsidRPr="00054BAE">
              <w:rPr>
                <w:b/>
              </w:rPr>
              <w:t>eGFR</w:t>
            </w:r>
          </w:p>
          <w:p w14:paraId="5BE68C26" w14:textId="616D4352" w:rsidR="00054BAE" w:rsidRPr="00054BAE" w:rsidRDefault="007E5D5E" w:rsidP="00EF6AF5">
            <w:pPr>
              <w:jc w:val="center"/>
              <w:rPr>
                <w:b/>
              </w:rPr>
            </w:pPr>
            <w:r>
              <w:rPr>
                <w:b/>
              </w:rPr>
              <w:t>&lt;20 not on dialysis</w:t>
            </w:r>
          </w:p>
        </w:tc>
        <w:tc>
          <w:tcPr>
            <w:tcW w:w="1418" w:type="dxa"/>
            <w:vMerge/>
          </w:tcPr>
          <w:p w14:paraId="369B7B6D" w14:textId="77777777" w:rsidR="00054BAE" w:rsidRPr="0093564C" w:rsidRDefault="00054BAE" w:rsidP="00EF6AF5"/>
        </w:tc>
        <w:tc>
          <w:tcPr>
            <w:tcW w:w="1559" w:type="dxa"/>
            <w:vMerge/>
          </w:tcPr>
          <w:p w14:paraId="05DAD47A" w14:textId="77777777" w:rsidR="00054BAE" w:rsidRPr="0093564C" w:rsidRDefault="00054BAE" w:rsidP="00EF6AF5"/>
        </w:tc>
        <w:tc>
          <w:tcPr>
            <w:tcW w:w="2034" w:type="dxa"/>
            <w:vAlign w:val="center"/>
          </w:tcPr>
          <w:p w14:paraId="3715F190" w14:textId="57E7B086" w:rsidR="00054BAE" w:rsidRPr="0093564C" w:rsidRDefault="00C76518" w:rsidP="00EF6AF5">
            <w:pPr>
              <w:jc w:val="center"/>
            </w:pPr>
            <w:r>
              <w:t>Might</w:t>
            </w:r>
            <w:r w:rsidR="00054BAE">
              <w:t xml:space="preserve"> avoid – see note </w:t>
            </w:r>
            <w:r>
              <w:t>2</w:t>
            </w:r>
            <w:r w:rsidR="00054BAE">
              <w:t xml:space="preserve"> below</w:t>
            </w:r>
          </w:p>
        </w:tc>
        <w:tc>
          <w:tcPr>
            <w:tcW w:w="1490" w:type="dxa"/>
            <w:vMerge/>
          </w:tcPr>
          <w:p w14:paraId="5FE0DF5A" w14:textId="77777777" w:rsidR="00054BAE" w:rsidRPr="0093564C" w:rsidRDefault="00054BAE" w:rsidP="00EF6AF5"/>
        </w:tc>
        <w:tc>
          <w:tcPr>
            <w:tcW w:w="1490" w:type="dxa"/>
            <w:vMerge/>
          </w:tcPr>
          <w:p w14:paraId="50E568D2" w14:textId="77777777" w:rsidR="00054BAE" w:rsidRPr="0093564C" w:rsidRDefault="00054BAE" w:rsidP="00EF6AF5"/>
        </w:tc>
      </w:tr>
      <w:tr w:rsidR="00054BAE" w:rsidRPr="0093564C" w14:paraId="76C81A8B" w14:textId="77777777" w:rsidTr="007E5D5E">
        <w:trPr>
          <w:trHeight w:val="70"/>
          <w:jc w:val="center"/>
        </w:trPr>
        <w:tc>
          <w:tcPr>
            <w:tcW w:w="1233" w:type="dxa"/>
            <w:vAlign w:val="center"/>
          </w:tcPr>
          <w:p w14:paraId="07556024" w14:textId="77777777" w:rsidR="00054BAE" w:rsidRPr="00054BAE" w:rsidRDefault="00054BAE" w:rsidP="00EF6AF5">
            <w:pPr>
              <w:jc w:val="center"/>
              <w:rPr>
                <w:b/>
              </w:rPr>
            </w:pPr>
            <w:r w:rsidRPr="00054BAE">
              <w:rPr>
                <w:b/>
              </w:rPr>
              <w:t>Dialysis</w:t>
            </w:r>
          </w:p>
        </w:tc>
        <w:tc>
          <w:tcPr>
            <w:tcW w:w="1418" w:type="dxa"/>
            <w:vMerge/>
          </w:tcPr>
          <w:p w14:paraId="7155ECA3" w14:textId="77777777" w:rsidR="00054BAE" w:rsidRPr="0093564C" w:rsidRDefault="00054BAE" w:rsidP="00EF6AF5"/>
        </w:tc>
        <w:tc>
          <w:tcPr>
            <w:tcW w:w="1559" w:type="dxa"/>
            <w:vMerge/>
          </w:tcPr>
          <w:p w14:paraId="086425D3" w14:textId="77777777" w:rsidR="00054BAE" w:rsidRPr="0093564C" w:rsidRDefault="00054BAE" w:rsidP="00EF6AF5"/>
        </w:tc>
        <w:tc>
          <w:tcPr>
            <w:tcW w:w="2034" w:type="dxa"/>
            <w:vAlign w:val="center"/>
          </w:tcPr>
          <w:p w14:paraId="050BC5D4" w14:textId="77777777" w:rsidR="00054BAE" w:rsidRPr="0093564C" w:rsidRDefault="00054BAE" w:rsidP="00EF6AF5">
            <w:pPr>
              <w:jc w:val="center"/>
            </w:pPr>
            <w:r w:rsidRPr="0093564C">
              <w:t xml:space="preserve">Start if </w:t>
            </w:r>
            <w:r>
              <w:t>potassium well controlled</w:t>
            </w:r>
          </w:p>
        </w:tc>
        <w:tc>
          <w:tcPr>
            <w:tcW w:w="1490" w:type="dxa"/>
            <w:vMerge/>
          </w:tcPr>
          <w:p w14:paraId="2FB11601" w14:textId="77777777" w:rsidR="00054BAE" w:rsidRPr="0093564C" w:rsidRDefault="00054BAE" w:rsidP="00EF6AF5"/>
        </w:tc>
        <w:tc>
          <w:tcPr>
            <w:tcW w:w="1490" w:type="dxa"/>
            <w:vMerge/>
          </w:tcPr>
          <w:p w14:paraId="37A602D9" w14:textId="77777777" w:rsidR="00054BAE" w:rsidRPr="0093564C" w:rsidRDefault="00054BAE" w:rsidP="00EF6AF5"/>
        </w:tc>
      </w:tr>
    </w:tbl>
    <w:p w14:paraId="75AF2CEC" w14:textId="77777777" w:rsidR="00054BAE" w:rsidRDefault="00054BAE" w:rsidP="00054BAE">
      <w:r w:rsidRPr="0093564C">
        <w:t xml:space="preserve"> </w:t>
      </w:r>
    </w:p>
    <w:tbl>
      <w:tblPr>
        <w:tblStyle w:val="TableGrid"/>
        <w:tblW w:w="0" w:type="auto"/>
        <w:jc w:val="center"/>
        <w:tblLook w:val="04A0" w:firstRow="1" w:lastRow="0" w:firstColumn="1" w:lastColumn="0" w:noHBand="0" w:noVBand="1"/>
      </w:tblPr>
      <w:tblGrid>
        <w:gridCol w:w="6231"/>
        <w:gridCol w:w="2982"/>
      </w:tblGrid>
      <w:tr w:rsidR="00054BAE" w14:paraId="3B1BF91B" w14:textId="77777777" w:rsidTr="007E5D5E">
        <w:trPr>
          <w:jc w:val="center"/>
        </w:trPr>
        <w:tc>
          <w:tcPr>
            <w:tcW w:w="6231" w:type="dxa"/>
          </w:tcPr>
          <w:p w14:paraId="5C5B3F43" w14:textId="1DEEB896" w:rsidR="00054BAE" w:rsidRPr="00054BAE" w:rsidRDefault="00054BAE" w:rsidP="00EF6AF5">
            <w:pPr>
              <w:jc w:val="center"/>
              <w:rPr>
                <w:b/>
              </w:rPr>
            </w:pPr>
            <w:r w:rsidRPr="00054BAE">
              <w:rPr>
                <w:b/>
              </w:rPr>
              <w:t>Creatinine clearance (ml/min)</w:t>
            </w:r>
            <w:r w:rsidR="007E5D5E">
              <w:rPr>
                <w:b/>
              </w:rPr>
              <w:t xml:space="preserve"> – calculated by Cockroft Gault</w:t>
            </w:r>
          </w:p>
        </w:tc>
        <w:tc>
          <w:tcPr>
            <w:tcW w:w="2982" w:type="dxa"/>
          </w:tcPr>
          <w:p w14:paraId="3396CBFA" w14:textId="77777777" w:rsidR="00054BAE" w:rsidRPr="00054BAE" w:rsidRDefault="00054BAE" w:rsidP="00EF6AF5">
            <w:pPr>
              <w:jc w:val="center"/>
              <w:rPr>
                <w:b/>
              </w:rPr>
            </w:pPr>
            <w:r w:rsidRPr="00054BAE">
              <w:rPr>
                <w:b/>
              </w:rPr>
              <w:t>Anticoagulant</w:t>
            </w:r>
          </w:p>
        </w:tc>
      </w:tr>
      <w:tr w:rsidR="00054BAE" w14:paraId="5D8644DE" w14:textId="77777777" w:rsidTr="007E5D5E">
        <w:trPr>
          <w:jc w:val="center"/>
        </w:trPr>
        <w:tc>
          <w:tcPr>
            <w:tcW w:w="6231" w:type="dxa"/>
            <w:vAlign w:val="center"/>
          </w:tcPr>
          <w:p w14:paraId="3B305EFE" w14:textId="77777777" w:rsidR="00054BAE" w:rsidRPr="00054BAE" w:rsidRDefault="00054BAE" w:rsidP="00EF6AF5">
            <w:pPr>
              <w:jc w:val="center"/>
              <w:rPr>
                <w:b/>
              </w:rPr>
            </w:pPr>
            <w:r w:rsidRPr="00054BAE">
              <w:rPr>
                <w:b/>
              </w:rPr>
              <w:t>20 or greater</w:t>
            </w:r>
          </w:p>
        </w:tc>
        <w:tc>
          <w:tcPr>
            <w:tcW w:w="2982" w:type="dxa"/>
            <w:vAlign w:val="center"/>
          </w:tcPr>
          <w:p w14:paraId="49B91C7A" w14:textId="77777777" w:rsidR="00054BAE" w:rsidRDefault="00054BAE" w:rsidP="00EF6AF5">
            <w:pPr>
              <w:jc w:val="center"/>
            </w:pPr>
            <w:r>
              <w:t>Fondaparinux 2.5mg sub cut daily</w:t>
            </w:r>
          </w:p>
        </w:tc>
      </w:tr>
      <w:tr w:rsidR="00054BAE" w14:paraId="55B0F142" w14:textId="77777777" w:rsidTr="007E5D5E">
        <w:trPr>
          <w:jc w:val="center"/>
        </w:trPr>
        <w:tc>
          <w:tcPr>
            <w:tcW w:w="6231" w:type="dxa"/>
            <w:vAlign w:val="center"/>
          </w:tcPr>
          <w:p w14:paraId="030CDC9B" w14:textId="77777777" w:rsidR="00054BAE" w:rsidRPr="00054BAE" w:rsidRDefault="00054BAE" w:rsidP="00EF6AF5">
            <w:pPr>
              <w:jc w:val="center"/>
              <w:rPr>
                <w:b/>
              </w:rPr>
            </w:pPr>
            <w:r w:rsidRPr="00054BAE">
              <w:rPr>
                <w:b/>
              </w:rPr>
              <w:t>Below 20</w:t>
            </w:r>
          </w:p>
        </w:tc>
        <w:tc>
          <w:tcPr>
            <w:tcW w:w="2982" w:type="dxa"/>
            <w:vAlign w:val="center"/>
          </w:tcPr>
          <w:p w14:paraId="1F77E5A0" w14:textId="370A5FF7" w:rsidR="00054BAE" w:rsidRDefault="005065CB" w:rsidP="00EF6AF5">
            <w:pPr>
              <w:jc w:val="center"/>
            </w:pPr>
            <w:r>
              <w:t>Enoxaparin</w:t>
            </w:r>
            <w:r w:rsidR="00054BAE">
              <w:t xml:space="preserve">.  Dosing as per note </w:t>
            </w:r>
            <w:r w:rsidR="007E5D5E">
              <w:t>3</w:t>
            </w:r>
            <w:r w:rsidR="00054BAE">
              <w:t xml:space="preserve"> below.</w:t>
            </w:r>
          </w:p>
        </w:tc>
      </w:tr>
    </w:tbl>
    <w:p w14:paraId="0EE07CDD" w14:textId="77777777" w:rsidR="004D6F87" w:rsidRDefault="004D6F87" w:rsidP="00054BAE">
      <w:pPr>
        <w:rPr>
          <w:rFonts w:ascii="Calibri" w:hAnsi="Calibri" w:cs="Arial"/>
          <w:sz w:val="28"/>
          <w:szCs w:val="28"/>
        </w:rPr>
      </w:pPr>
    </w:p>
    <w:p w14:paraId="134A3639" w14:textId="28ADD3C7" w:rsidR="007E5D5E" w:rsidRPr="007E5D5E" w:rsidRDefault="007E5D5E" w:rsidP="00054BAE">
      <w:pPr>
        <w:rPr>
          <w:rFonts w:ascii="Calibri" w:hAnsi="Calibri" w:cs="Arial"/>
          <w:sz w:val="22"/>
          <w:szCs w:val="22"/>
        </w:rPr>
      </w:pPr>
      <w:r w:rsidRPr="007E5D5E">
        <w:rPr>
          <w:rFonts w:ascii="Calibri" w:hAnsi="Calibri" w:cs="Arial"/>
          <w:sz w:val="22"/>
          <w:szCs w:val="22"/>
        </w:rPr>
        <w:t>(See notes on next page.)</w:t>
      </w:r>
    </w:p>
    <w:p w14:paraId="7F77A47D" w14:textId="54A42FE4" w:rsidR="007E5D5E" w:rsidRDefault="007E5D5E">
      <w:pPr>
        <w:rPr>
          <w:rFonts w:ascii="Calibri" w:hAnsi="Calibri" w:cs="Arial"/>
          <w:sz w:val="28"/>
          <w:szCs w:val="28"/>
        </w:rPr>
      </w:pPr>
      <w:r>
        <w:rPr>
          <w:rFonts w:ascii="Calibri" w:hAnsi="Calibri" w:cs="Arial"/>
          <w:sz w:val="28"/>
          <w:szCs w:val="28"/>
        </w:rPr>
        <w:br w:type="page"/>
      </w:r>
    </w:p>
    <w:p w14:paraId="6F575874" w14:textId="0C09722A" w:rsidR="007E5D5E" w:rsidRPr="00384F4A" w:rsidRDefault="007E5D5E" w:rsidP="007E5D5E">
      <w:pPr>
        <w:ind w:left="-142"/>
        <w:rPr>
          <w:rFonts w:ascii="Calibri" w:hAnsi="Calibri" w:cs="Arial"/>
          <w:b/>
          <w:bCs/>
        </w:rPr>
      </w:pPr>
      <w:r w:rsidRPr="00384F4A">
        <w:rPr>
          <w:rFonts w:ascii="Calibri" w:hAnsi="Calibri" w:cs="Arial"/>
          <w:b/>
          <w:bCs/>
        </w:rPr>
        <w:lastRenderedPageBreak/>
        <w:t>Prescribing notes:</w:t>
      </w:r>
    </w:p>
    <w:p w14:paraId="1529FC76" w14:textId="77777777" w:rsidR="007E5D5E" w:rsidRPr="004D6F87" w:rsidRDefault="007E5D5E" w:rsidP="00054BAE">
      <w:pPr>
        <w:rPr>
          <w:rFonts w:ascii="Calibri" w:hAnsi="Calibri" w:cs="Arial"/>
          <w:sz w:val="28"/>
          <w:szCs w:val="28"/>
        </w:rPr>
      </w:pPr>
    </w:p>
    <w:p w14:paraId="5522E388" w14:textId="77777777" w:rsidR="004D6F87" w:rsidRPr="007E5D5E" w:rsidRDefault="004D6F87" w:rsidP="00054BAE">
      <w:pPr>
        <w:tabs>
          <w:tab w:val="left" w:pos="284"/>
        </w:tabs>
        <w:ind w:left="-142"/>
        <w:rPr>
          <w:rFonts w:ascii="Calibri" w:hAnsi="Calibri" w:cs="Arial"/>
          <w:sz w:val="22"/>
          <w:szCs w:val="22"/>
        </w:rPr>
      </w:pPr>
      <w:r w:rsidRPr="007E5D5E">
        <w:rPr>
          <w:rFonts w:ascii="Calibri" w:hAnsi="Calibri" w:cs="Arial"/>
          <w:sz w:val="22"/>
          <w:szCs w:val="22"/>
        </w:rPr>
        <w:t>1)</w:t>
      </w:r>
      <w:r w:rsidRPr="007E5D5E">
        <w:rPr>
          <w:rFonts w:ascii="Calibri" w:hAnsi="Calibri" w:cs="Arial"/>
          <w:sz w:val="22"/>
          <w:szCs w:val="22"/>
        </w:rPr>
        <w:tab/>
      </w:r>
      <w:r w:rsidRPr="007E5D5E">
        <w:rPr>
          <w:rFonts w:ascii="Calibri" w:hAnsi="Calibri" w:cs="Arial"/>
          <w:b/>
          <w:sz w:val="22"/>
          <w:szCs w:val="22"/>
        </w:rPr>
        <w:t>Guidelines for usage of second antiplatelet:</w:t>
      </w:r>
      <w:r w:rsidRPr="007E5D5E">
        <w:rPr>
          <w:rFonts w:ascii="Calibri" w:hAnsi="Calibri" w:cs="Arial"/>
          <w:sz w:val="22"/>
          <w:szCs w:val="22"/>
        </w:rPr>
        <w:t xml:space="preserve">  Risk of bleeding increases and the benefit derived from dual antiplatelets decreases as degree of renal impairment worsens.  It is unclear what the optimum time course for dual antiplatelets is, especially in those with chronic kidney disease.  The decision as to whether to continue beyond 3 months should be made on an individual patient’s risk of bleeding.</w:t>
      </w:r>
    </w:p>
    <w:p w14:paraId="367FB7EC" w14:textId="77777777" w:rsidR="004D6F87" w:rsidRPr="007E5D5E" w:rsidRDefault="004D6F87" w:rsidP="00054BAE">
      <w:pPr>
        <w:ind w:left="-142"/>
        <w:rPr>
          <w:rFonts w:ascii="Calibri" w:hAnsi="Calibri" w:cs="Arial"/>
          <w:sz w:val="22"/>
          <w:szCs w:val="22"/>
        </w:rPr>
      </w:pPr>
    </w:p>
    <w:p w14:paraId="5E673541" w14:textId="17E8D503" w:rsidR="00C76518" w:rsidRPr="007E5D5E" w:rsidRDefault="00C76518" w:rsidP="00C76518">
      <w:pPr>
        <w:tabs>
          <w:tab w:val="left" w:pos="284"/>
        </w:tabs>
        <w:ind w:left="-142"/>
        <w:rPr>
          <w:rFonts w:ascii="Calibri" w:hAnsi="Calibri" w:cs="Arial"/>
          <w:sz w:val="22"/>
          <w:szCs w:val="22"/>
        </w:rPr>
      </w:pPr>
      <w:r w:rsidRPr="007E5D5E">
        <w:rPr>
          <w:rFonts w:ascii="Calibri" w:hAnsi="Calibri" w:cs="Arial"/>
          <w:sz w:val="22"/>
          <w:szCs w:val="22"/>
        </w:rPr>
        <w:t>2</w:t>
      </w:r>
      <w:r w:rsidRPr="007E5D5E">
        <w:rPr>
          <w:rFonts w:ascii="Calibri" w:hAnsi="Calibri" w:cs="Arial"/>
          <w:sz w:val="22"/>
          <w:szCs w:val="22"/>
        </w:rPr>
        <w:t>)</w:t>
      </w:r>
      <w:r w:rsidRPr="007E5D5E">
        <w:rPr>
          <w:rFonts w:ascii="Calibri" w:hAnsi="Calibri" w:cs="Arial"/>
          <w:sz w:val="22"/>
          <w:szCs w:val="22"/>
        </w:rPr>
        <w:tab/>
      </w:r>
      <w:r w:rsidRPr="007E5D5E">
        <w:rPr>
          <w:rFonts w:ascii="Calibri" w:hAnsi="Calibri" w:cs="Arial"/>
          <w:b/>
          <w:sz w:val="22"/>
          <w:szCs w:val="22"/>
        </w:rPr>
        <w:t xml:space="preserve">Guidelines for starting </w:t>
      </w:r>
      <w:proofErr w:type="spellStart"/>
      <w:r w:rsidRPr="007E5D5E">
        <w:rPr>
          <w:rFonts w:ascii="Calibri" w:hAnsi="Calibri" w:cs="Arial"/>
          <w:b/>
          <w:sz w:val="22"/>
          <w:szCs w:val="22"/>
        </w:rPr>
        <w:t>ACEi</w:t>
      </w:r>
      <w:proofErr w:type="spellEnd"/>
      <w:r w:rsidRPr="007E5D5E">
        <w:rPr>
          <w:rFonts w:ascii="Calibri" w:hAnsi="Calibri" w:cs="Arial"/>
          <w:b/>
          <w:sz w:val="22"/>
          <w:szCs w:val="22"/>
        </w:rPr>
        <w:t>/ARB:</w:t>
      </w:r>
      <w:r w:rsidRPr="007E5D5E">
        <w:rPr>
          <w:rFonts w:ascii="Calibri" w:hAnsi="Calibri" w:cs="Arial"/>
          <w:sz w:val="22"/>
          <w:szCs w:val="22"/>
        </w:rPr>
        <w:t xml:space="preserve">  Caution should be taken when starting an </w:t>
      </w:r>
      <w:proofErr w:type="spellStart"/>
      <w:r w:rsidRPr="007E5D5E">
        <w:rPr>
          <w:rFonts w:ascii="Calibri" w:hAnsi="Calibri" w:cs="Arial"/>
          <w:sz w:val="22"/>
          <w:szCs w:val="22"/>
        </w:rPr>
        <w:t>ACEi</w:t>
      </w:r>
      <w:proofErr w:type="spellEnd"/>
      <w:r w:rsidRPr="007E5D5E">
        <w:rPr>
          <w:rFonts w:ascii="Calibri" w:hAnsi="Calibri" w:cs="Arial"/>
          <w:sz w:val="22"/>
          <w:szCs w:val="22"/>
        </w:rPr>
        <w:t xml:space="preserve">/ARB in all patients with renal failure.  </w:t>
      </w:r>
      <w:proofErr w:type="gramStart"/>
      <w:r w:rsidRPr="007E5D5E">
        <w:rPr>
          <w:rFonts w:ascii="Calibri" w:hAnsi="Calibri" w:cs="Arial"/>
          <w:sz w:val="22"/>
          <w:szCs w:val="22"/>
        </w:rPr>
        <w:t>Particular caution</w:t>
      </w:r>
      <w:proofErr w:type="gramEnd"/>
      <w:r w:rsidRPr="007E5D5E">
        <w:rPr>
          <w:rFonts w:ascii="Calibri" w:hAnsi="Calibri" w:cs="Arial"/>
          <w:sz w:val="22"/>
          <w:szCs w:val="22"/>
        </w:rPr>
        <w:t xml:space="preserve"> should be exercised in those patients with an eGFR below 20 who are not yet on dialysis.  They are especially prone to hyperkalaemia and introduction of an </w:t>
      </w:r>
      <w:proofErr w:type="spellStart"/>
      <w:r w:rsidRPr="007E5D5E">
        <w:rPr>
          <w:rFonts w:ascii="Calibri" w:hAnsi="Calibri" w:cs="Arial"/>
          <w:sz w:val="22"/>
          <w:szCs w:val="22"/>
        </w:rPr>
        <w:t>ACEi</w:t>
      </w:r>
      <w:proofErr w:type="spellEnd"/>
      <w:r w:rsidRPr="007E5D5E">
        <w:rPr>
          <w:rFonts w:ascii="Calibri" w:hAnsi="Calibri" w:cs="Arial"/>
          <w:sz w:val="22"/>
          <w:szCs w:val="22"/>
        </w:rPr>
        <w:t xml:space="preserve">/ARB may lead to rapid deterioration of renal function.  If they are </w:t>
      </w:r>
      <w:proofErr w:type="gramStart"/>
      <w:r w:rsidRPr="007E5D5E">
        <w:rPr>
          <w:rFonts w:ascii="Calibri" w:hAnsi="Calibri" w:cs="Arial"/>
          <w:sz w:val="22"/>
          <w:szCs w:val="22"/>
        </w:rPr>
        <w:t>used</w:t>
      </w:r>
      <w:proofErr w:type="gramEnd"/>
      <w:r w:rsidRPr="007E5D5E">
        <w:rPr>
          <w:rFonts w:ascii="Calibri" w:hAnsi="Calibri" w:cs="Arial"/>
          <w:sz w:val="22"/>
          <w:szCs w:val="22"/>
        </w:rPr>
        <w:t xml:space="preserve"> then renal function (especially K</w:t>
      </w:r>
      <w:r w:rsidRPr="007E5D5E">
        <w:rPr>
          <w:rFonts w:ascii="Calibri" w:hAnsi="Calibri" w:cs="Arial"/>
          <w:sz w:val="22"/>
          <w:szCs w:val="22"/>
          <w:vertAlign w:val="superscript"/>
        </w:rPr>
        <w:t>+</w:t>
      </w:r>
      <w:r w:rsidRPr="007E5D5E">
        <w:rPr>
          <w:rFonts w:ascii="Calibri" w:hAnsi="Calibri" w:cs="Arial"/>
          <w:sz w:val="22"/>
          <w:szCs w:val="22"/>
        </w:rPr>
        <w:t xml:space="preserve">) and blood pressure need to be monitored closely.  </w:t>
      </w:r>
    </w:p>
    <w:p w14:paraId="2BFA43DE" w14:textId="77777777" w:rsidR="00C76518" w:rsidRPr="007E5D5E" w:rsidRDefault="00C76518" w:rsidP="00C76518">
      <w:pPr>
        <w:tabs>
          <w:tab w:val="left" w:pos="284"/>
        </w:tabs>
        <w:ind w:left="-142"/>
        <w:rPr>
          <w:rFonts w:ascii="Calibri" w:hAnsi="Calibri" w:cs="Arial"/>
          <w:sz w:val="22"/>
          <w:szCs w:val="22"/>
        </w:rPr>
      </w:pPr>
    </w:p>
    <w:p w14:paraId="51E025B8" w14:textId="7A78F1AD" w:rsidR="004D6F87" w:rsidRPr="007E5D5E" w:rsidRDefault="00C76518" w:rsidP="00C76518">
      <w:pPr>
        <w:tabs>
          <w:tab w:val="left" w:pos="284"/>
        </w:tabs>
        <w:ind w:left="-142"/>
        <w:rPr>
          <w:sz w:val="20"/>
          <w:szCs w:val="20"/>
        </w:rPr>
      </w:pPr>
      <w:r w:rsidRPr="007E5D5E">
        <w:rPr>
          <w:rFonts w:ascii="Calibri" w:hAnsi="Calibri" w:cs="Arial"/>
          <w:sz w:val="22"/>
          <w:szCs w:val="22"/>
        </w:rPr>
        <w:t>3</w:t>
      </w:r>
      <w:r w:rsidR="004D6F87" w:rsidRPr="007E5D5E">
        <w:rPr>
          <w:rFonts w:ascii="Calibri" w:hAnsi="Calibri" w:cs="Arial"/>
          <w:sz w:val="22"/>
          <w:szCs w:val="22"/>
        </w:rPr>
        <w:t>)</w:t>
      </w:r>
      <w:r w:rsidR="004D6F87" w:rsidRPr="007E5D5E">
        <w:rPr>
          <w:rFonts w:ascii="Calibri" w:hAnsi="Calibri" w:cs="Arial"/>
          <w:sz w:val="22"/>
          <w:szCs w:val="22"/>
        </w:rPr>
        <w:tab/>
      </w:r>
      <w:r w:rsidR="004D6F87" w:rsidRPr="007E5D5E">
        <w:rPr>
          <w:rFonts w:ascii="Calibri" w:hAnsi="Calibri" w:cs="Arial"/>
          <w:b/>
          <w:sz w:val="22"/>
          <w:szCs w:val="22"/>
        </w:rPr>
        <w:t>Guidelines for anticoagulant therapy:</w:t>
      </w:r>
      <w:r w:rsidR="004D6F87" w:rsidRPr="007E5D5E">
        <w:rPr>
          <w:rFonts w:ascii="Calibri" w:hAnsi="Calibri" w:cs="Arial"/>
          <w:sz w:val="22"/>
          <w:szCs w:val="22"/>
        </w:rPr>
        <w:t xml:space="preserve">  Fondaparinux is not licensed below a creatinine clearance of 20ml/min.  Bleeding risk also increases with anticoagulants as degree of renal impairment worsens.  Where patients are at high risk of bleeding, it may be preferable to avoid anticoagulants.  For those patients who are not at high risk of bleeding we recommend using </w:t>
      </w:r>
      <w:r w:rsidR="005065CB" w:rsidRPr="007E5D5E">
        <w:rPr>
          <w:rFonts w:ascii="Calibri" w:hAnsi="Calibri" w:cs="Arial"/>
          <w:sz w:val="22"/>
          <w:szCs w:val="22"/>
        </w:rPr>
        <w:t>treatment-dose enoxaparin</w:t>
      </w:r>
      <w:r w:rsidR="004D6F87" w:rsidRPr="007E5D5E">
        <w:rPr>
          <w:rFonts w:ascii="Calibri" w:hAnsi="Calibri" w:cs="Arial"/>
          <w:sz w:val="22"/>
          <w:szCs w:val="22"/>
        </w:rPr>
        <w:t xml:space="preserve"> when creatinine clearance is below 20ml/min.  </w:t>
      </w:r>
      <w:r w:rsidR="005065CB" w:rsidRPr="007E5D5E">
        <w:rPr>
          <w:rFonts w:ascii="Calibri" w:hAnsi="Calibri" w:cs="Arial"/>
          <w:sz w:val="22"/>
          <w:szCs w:val="22"/>
        </w:rPr>
        <w:t>Dose adjustment for eGFR / body weight is as per NHS Lothian anti-thrombotic guide (on the intranet</w:t>
      </w:r>
      <w:r w:rsidR="00384F4A">
        <w:rPr>
          <w:rFonts w:ascii="Calibri" w:hAnsi="Calibri" w:cs="Arial"/>
          <w:sz w:val="22"/>
          <w:szCs w:val="22"/>
        </w:rPr>
        <w:t xml:space="preserve">: </w:t>
      </w:r>
      <w:hyperlink r:id="rId8" w:history="1">
        <w:r w:rsidR="00384F4A" w:rsidRPr="006C160A">
          <w:rPr>
            <w:rStyle w:val="Hyperlink"/>
            <w:rFonts w:ascii="Calibri" w:hAnsi="Calibri" w:cs="Arial"/>
            <w:sz w:val="22"/>
            <w:szCs w:val="22"/>
          </w:rPr>
          <w:t>http://intranet.lothian.scot.nhs.uk/Directory/Haematology/Thrombosis/Pages/default.aspx</w:t>
        </w:r>
      </w:hyperlink>
      <w:r w:rsidR="00384F4A">
        <w:rPr>
          <w:rFonts w:ascii="Calibri" w:hAnsi="Calibri" w:cs="Arial"/>
          <w:sz w:val="22"/>
          <w:szCs w:val="22"/>
        </w:rPr>
        <w:t>)</w:t>
      </w:r>
      <w:r w:rsidR="005065CB" w:rsidRPr="007E5D5E">
        <w:rPr>
          <w:rFonts w:ascii="Calibri" w:hAnsi="Calibri" w:cs="Arial"/>
          <w:sz w:val="22"/>
          <w:szCs w:val="22"/>
        </w:rPr>
        <w:t>.  Anticoagulation</w:t>
      </w:r>
      <w:r w:rsidR="004D6F87" w:rsidRPr="007E5D5E">
        <w:rPr>
          <w:rFonts w:ascii="Calibri" w:hAnsi="Calibri" w:cs="Arial"/>
          <w:sz w:val="22"/>
          <w:szCs w:val="22"/>
        </w:rPr>
        <w:t xml:space="preserve"> should be continued for 8 days, until percutaneous coronary intervention or until discharge (whichever occurs sooner).  </w:t>
      </w:r>
    </w:p>
    <w:p w14:paraId="6D98A7AF" w14:textId="77777777" w:rsidR="00E4149D" w:rsidRDefault="00E4149D" w:rsidP="00C76518">
      <w:pPr>
        <w:rPr>
          <w:rFonts w:ascii="Calibri" w:hAnsi="Calibri" w:cs="Arial"/>
          <w:sz w:val="22"/>
          <w:szCs w:val="22"/>
        </w:rPr>
      </w:pPr>
    </w:p>
    <w:p w14:paraId="7A56EB90" w14:textId="77777777" w:rsidR="007E5D5E" w:rsidRPr="007E5D5E" w:rsidRDefault="007E5D5E" w:rsidP="00C76518">
      <w:pPr>
        <w:rPr>
          <w:rFonts w:ascii="Calibri" w:hAnsi="Calibri" w:cs="Arial"/>
          <w:sz w:val="22"/>
          <w:szCs w:val="22"/>
        </w:rPr>
      </w:pPr>
    </w:p>
    <w:p w14:paraId="1465DD96" w14:textId="62BF99AC" w:rsidR="004D6F87" w:rsidRDefault="00384F4A" w:rsidP="00054BAE">
      <w:pPr>
        <w:ind w:left="-142"/>
        <w:rPr>
          <w:rFonts w:ascii="Calibri" w:hAnsi="Calibri" w:cs="Arial"/>
          <w:b/>
        </w:rPr>
      </w:pPr>
      <w:r>
        <w:rPr>
          <w:rFonts w:ascii="Calibri" w:hAnsi="Calibri" w:cs="Arial"/>
          <w:b/>
        </w:rPr>
        <w:t>Dialysis therapy:</w:t>
      </w:r>
    </w:p>
    <w:p w14:paraId="59A40789" w14:textId="66E0BC4E" w:rsidR="00384F4A" w:rsidRDefault="00384F4A" w:rsidP="00054BAE">
      <w:pPr>
        <w:ind w:left="-142"/>
        <w:rPr>
          <w:rFonts w:ascii="Calibri" w:hAnsi="Calibri" w:cs="Arial"/>
          <w:b/>
        </w:rPr>
      </w:pPr>
    </w:p>
    <w:p w14:paraId="225DC1E3" w14:textId="59E6AA61" w:rsidR="00384F4A" w:rsidRDefault="00384F4A" w:rsidP="00E4149D">
      <w:pPr>
        <w:ind w:left="-142"/>
        <w:rPr>
          <w:rFonts w:ascii="Calibri" w:hAnsi="Calibri" w:cs="Arial"/>
          <w:sz w:val="22"/>
          <w:szCs w:val="22"/>
        </w:rPr>
      </w:pPr>
      <w:r>
        <w:rPr>
          <w:rFonts w:ascii="Calibri" w:hAnsi="Calibri" w:cs="Arial"/>
          <w:sz w:val="22"/>
          <w:szCs w:val="22"/>
        </w:rPr>
        <w:t>Haemod</w:t>
      </w:r>
      <w:r w:rsidR="004D6F87" w:rsidRPr="007E5D5E">
        <w:rPr>
          <w:rFonts w:ascii="Calibri" w:hAnsi="Calibri" w:cs="Arial"/>
          <w:sz w:val="22"/>
          <w:szCs w:val="22"/>
        </w:rPr>
        <w:t xml:space="preserve">ialysis may </w:t>
      </w:r>
      <w:r>
        <w:rPr>
          <w:rFonts w:ascii="Calibri" w:hAnsi="Calibri" w:cs="Arial"/>
          <w:sz w:val="22"/>
          <w:szCs w:val="22"/>
        </w:rPr>
        <w:t xml:space="preserve">exacerbate myocardial ischaemia.  </w:t>
      </w:r>
      <w:proofErr w:type="gramStart"/>
      <w:r>
        <w:rPr>
          <w:rFonts w:ascii="Calibri" w:hAnsi="Calibri" w:cs="Arial"/>
          <w:sz w:val="22"/>
          <w:szCs w:val="22"/>
        </w:rPr>
        <w:t>Therefore</w:t>
      </w:r>
      <w:proofErr w:type="gramEnd"/>
      <w:r>
        <w:rPr>
          <w:rFonts w:ascii="Calibri" w:hAnsi="Calibri" w:cs="Arial"/>
          <w:sz w:val="22"/>
          <w:szCs w:val="22"/>
        </w:rPr>
        <w:t xml:space="preserve"> in the context of an acute coronary syndrome, dialysis therapies should be delivered in a monitored environment (almost always renal HDU) until patient is stable.  </w:t>
      </w:r>
    </w:p>
    <w:p w14:paraId="21C81589" w14:textId="77777777" w:rsidR="00384F4A" w:rsidRDefault="00384F4A" w:rsidP="00E4149D">
      <w:pPr>
        <w:ind w:left="-142"/>
        <w:rPr>
          <w:rFonts w:ascii="Calibri" w:hAnsi="Calibri" w:cs="Arial"/>
          <w:sz w:val="22"/>
          <w:szCs w:val="22"/>
        </w:rPr>
      </w:pPr>
    </w:p>
    <w:sectPr w:rsidR="00384F4A" w:rsidSect="00F27F2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2418" w14:textId="77777777" w:rsidR="00FB22F0" w:rsidRDefault="00FB22F0">
      <w:r>
        <w:separator/>
      </w:r>
    </w:p>
  </w:endnote>
  <w:endnote w:type="continuationSeparator" w:id="0">
    <w:p w14:paraId="23680DE2" w14:textId="77777777" w:rsidR="00FB22F0" w:rsidRDefault="00FB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102A" w14:textId="77777777" w:rsidR="00265B19" w:rsidRDefault="00265B19" w:rsidP="00F80228">
    <w:pPr>
      <w:pStyle w:val="Footer"/>
      <w:jc w:val="right"/>
      <w:rPr>
        <w:rFonts w:ascii="Calibri" w:hAnsi="Calibri"/>
        <w:i/>
        <w:sz w:val="20"/>
        <w:szCs w:val="20"/>
      </w:rPr>
    </w:pPr>
    <w:r w:rsidRPr="00186DAC">
      <w:rPr>
        <w:rFonts w:ascii="Calibri" w:hAnsi="Calibri"/>
        <w:b/>
        <w:i/>
        <w:sz w:val="20"/>
        <w:szCs w:val="20"/>
      </w:rPr>
      <w:t>W</w:t>
    </w:r>
    <w:r w:rsidR="0098553F" w:rsidRPr="00186DAC">
      <w:rPr>
        <w:rFonts w:ascii="Calibri" w:hAnsi="Calibri"/>
        <w:b/>
        <w:i/>
        <w:sz w:val="20"/>
        <w:szCs w:val="20"/>
      </w:rPr>
      <w:t xml:space="preserve">ritten by: </w:t>
    </w:r>
    <w:r w:rsidR="001B7CBB">
      <w:rPr>
        <w:rFonts w:ascii="Calibri" w:hAnsi="Calibri"/>
        <w:i/>
        <w:sz w:val="20"/>
        <w:szCs w:val="20"/>
      </w:rPr>
      <w:t>Matthew Sayer &amp; Liz Hird</w:t>
    </w:r>
  </w:p>
  <w:p w14:paraId="6146F76B" w14:textId="5E313CD6" w:rsidR="00265B19" w:rsidRDefault="00265B19" w:rsidP="00F80228">
    <w:pPr>
      <w:pStyle w:val="Footer"/>
      <w:jc w:val="right"/>
      <w:rPr>
        <w:rFonts w:ascii="Calibri" w:hAnsi="Calibri"/>
        <w:i/>
        <w:sz w:val="20"/>
        <w:szCs w:val="20"/>
      </w:rPr>
    </w:pPr>
    <w:r w:rsidRPr="00186DAC">
      <w:rPr>
        <w:rFonts w:ascii="Calibri" w:hAnsi="Calibri"/>
        <w:b/>
        <w:i/>
        <w:sz w:val="20"/>
        <w:szCs w:val="20"/>
      </w:rPr>
      <w:t xml:space="preserve">Reviewed </w:t>
    </w:r>
    <w:r w:rsidR="005065CB">
      <w:rPr>
        <w:rFonts w:ascii="Calibri" w:hAnsi="Calibri"/>
        <w:b/>
        <w:i/>
        <w:sz w:val="20"/>
        <w:szCs w:val="20"/>
      </w:rPr>
      <w:t xml:space="preserve">Nov 2025 </w:t>
    </w:r>
    <w:r w:rsidRPr="00186DAC">
      <w:rPr>
        <w:rFonts w:ascii="Calibri" w:hAnsi="Calibri"/>
        <w:b/>
        <w:i/>
        <w:sz w:val="20"/>
        <w:szCs w:val="20"/>
      </w:rPr>
      <w:t>by</w:t>
    </w:r>
    <w:r w:rsidR="0098553F" w:rsidRPr="00186DAC">
      <w:rPr>
        <w:rFonts w:ascii="Calibri" w:hAnsi="Calibri"/>
        <w:b/>
        <w:i/>
        <w:sz w:val="20"/>
        <w:szCs w:val="20"/>
      </w:rPr>
      <w:t>:</w:t>
    </w:r>
    <w:r w:rsidR="0098553F">
      <w:rPr>
        <w:rFonts w:ascii="Calibri" w:hAnsi="Calibri"/>
        <w:i/>
        <w:sz w:val="20"/>
        <w:szCs w:val="20"/>
      </w:rPr>
      <w:t xml:space="preserve"> </w:t>
    </w:r>
    <w:r w:rsidR="001B7CBB">
      <w:rPr>
        <w:rFonts w:ascii="Calibri" w:hAnsi="Calibri"/>
        <w:i/>
        <w:sz w:val="20"/>
        <w:szCs w:val="20"/>
      </w:rPr>
      <w:t>Maggie Davidson</w:t>
    </w:r>
    <w:r w:rsidR="0098553F">
      <w:rPr>
        <w:rFonts w:ascii="Calibri" w:hAnsi="Calibri"/>
        <w:i/>
        <w:sz w:val="20"/>
        <w:szCs w:val="20"/>
      </w:rPr>
      <w:t>,</w:t>
    </w:r>
    <w:r>
      <w:rPr>
        <w:rFonts w:ascii="Calibri" w:hAnsi="Calibri"/>
        <w:i/>
        <w:sz w:val="20"/>
        <w:szCs w:val="20"/>
      </w:rPr>
      <w:t xml:space="preserve"> Renal Pharmacist</w:t>
    </w:r>
    <w:r w:rsidR="005065CB">
      <w:rPr>
        <w:rFonts w:ascii="Calibri" w:hAnsi="Calibri"/>
        <w:i/>
        <w:sz w:val="20"/>
        <w:szCs w:val="20"/>
      </w:rPr>
      <w:t xml:space="preserve"> &amp; Rob Hunter</w:t>
    </w:r>
  </w:p>
  <w:p w14:paraId="7A8EADBE" w14:textId="77777777" w:rsidR="00265B19" w:rsidRDefault="0098553F" w:rsidP="00F80228">
    <w:pPr>
      <w:pStyle w:val="Footer"/>
      <w:jc w:val="right"/>
      <w:rPr>
        <w:rFonts w:ascii="Calibri" w:hAnsi="Calibri"/>
        <w:i/>
        <w:sz w:val="20"/>
        <w:szCs w:val="20"/>
      </w:rPr>
    </w:pPr>
    <w:r w:rsidRPr="00186DAC">
      <w:rPr>
        <w:rFonts w:ascii="Calibri" w:hAnsi="Calibri"/>
        <w:b/>
        <w:i/>
        <w:sz w:val="20"/>
        <w:szCs w:val="20"/>
      </w:rPr>
      <w:t>Date written:</w:t>
    </w:r>
    <w:r>
      <w:rPr>
        <w:rFonts w:ascii="Calibri" w:hAnsi="Calibri"/>
        <w:i/>
        <w:sz w:val="20"/>
        <w:szCs w:val="20"/>
      </w:rPr>
      <w:t xml:space="preserve"> </w:t>
    </w:r>
    <w:r w:rsidR="001B7CBB">
      <w:rPr>
        <w:rFonts w:ascii="Calibri" w:hAnsi="Calibri"/>
        <w:i/>
        <w:sz w:val="20"/>
        <w:szCs w:val="20"/>
      </w:rPr>
      <w:t>Oct</w:t>
    </w:r>
    <w:r w:rsidR="00186DAC">
      <w:rPr>
        <w:rFonts w:ascii="Calibri" w:hAnsi="Calibri"/>
        <w:i/>
        <w:sz w:val="20"/>
        <w:szCs w:val="20"/>
      </w:rPr>
      <w:t xml:space="preserve"> 2022</w:t>
    </w:r>
  </w:p>
  <w:p w14:paraId="4EAC451D" w14:textId="58B43B61" w:rsidR="00265B19" w:rsidRDefault="00186DAC" w:rsidP="00F80228">
    <w:pPr>
      <w:pStyle w:val="Footer"/>
      <w:jc w:val="right"/>
      <w:rPr>
        <w:rFonts w:ascii="Calibri" w:hAnsi="Calibri"/>
        <w:i/>
        <w:sz w:val="20"/>
        <w:szCs w:val="20"/>
      </w:rPr>
    </w:pPr>
    <w:r>
      <w:rPr>
        <w:rFonts w:ascii="Calibri" w:hAnsi="Calibri"/>
        <w:b/>
        <w:i/>
        <w:sz w:val="20"/>
        <w:szCs w:val="20"/>
      </w:rPr>
      <w:t>Next Review Due</w:t>
    </w:r>
    <w:r w:rsidR="0098553F" w:rsidRPr="00186DAC">
      <w:rPr>
        <w:rFonts w:ascii="Calibri" w:hAnsi="Calibri"/>
        <w:b/>
        <w:i/>
        <w:sz w:val="20"/>
        <w:szCs w:val="20"/>
      </w:rPr>
      <w:t>:</w:t>
    </w:r>
    <w:r>
      <w:rPr>
        <w:rFonts w:ascii="Calibri" w:hAnsi="Calibri"/>
        <w:i/>
        <w:sz w:val="20"/>
        <w:szCs w:val="20"/>
      </w:rPr>
      <w:t xml:space="preserve"> </w:t>
    </w:r>
    <w:r w:rsidR="005065CB">
      <w:rPr>
        <w:rFonts w:ascii="Calibri" w:hAnsi="Calibri"/>
        <w:i/>
        <w:sz w:val="20"/>
        <w:szCs w:val="20"/>
      </w:rPr>
      <w:t>Nov</w:t>
    </w:r>
    <w:r>
      <w:rPr>
        <w:rFonts w:ascii="Calibri" w:hAnsi="Calibri"/>
        <w:i/>
        <w:sz w:val="20"/>
        <w:szCs w:val="20"/>
      </w:rPr>
      <w:t xml:space="preserve"> 202</w:t>
    </w:r>
    <w:r w:rsidR="005065CB">
      <w:rPr>
        <w:rFonts w:ascii="Calibri" w:hAnsi="Calibri"/>
        <w:i/>
        <w:sz w:val="20"/>
        <w:szCs w:val="20"/>
      </w:rPr>
      <w:t>8</w:t>
    </w:r>
  </w:p>
  <w:p w14:paraId="74D58B20" w14:textId="77777777" w:rsidR="005948E7" w:rsidRDefault="005948E7" w:rsidP="00F80228">
    <w:pPr>
      <w:pStyle w:val="Footer"/>
      <w:jc w:val="right"/>
      <w:rPr>
        <w:rFonts w:ascii="Calibri" w:hAnsi="Calibri"/>
        <w:i/>
        <w:sz w:val="20"/>
        <w:szCs w:val="20"/>
      </w:rPr>
    </w:pPr>
  </w:p>
  <w:p w14:paraId="2D47F62D" w14:textId="2557BD7C" w:rsidR="005948E7" w:rsidRDefault="005948E7" w:rsidP="005948E7">
    <w:pPr>
      <w:pStyle w:val="Footer"/>
      <w:rPr>
        <w:rFonts w:ascii="Calibri" w:hAnsi="Calibri"/>
        <w:i/>
        <w:sz w:val="20"/>
        <w:szCs w:val="20"/>
      </w:rPr>
    </w:pPr>
    <w:r w:rsidRPr="005948E7">
      <w:rPr>
        <w:rFonts w:ascii="Calibri" w:hAnsi="Calibri"/>
        <w:i/>
        <w:sz w:val="20"/>
        <w:szCs w:val="20"/>
      </w:rPr>
      <w:t xml:space="preserve">This document was printed on </w:t>
    </w:r>
    <w:r w:rsidRPr="005948E7">
      <w:rPr>
        <w:rFonts w:ascii="Calibri" w:hAnsi="Calibri"/>
        <w:i/>
        <w:sz w:val="20"/>
        <w:szCs w:val="20"/>
      </w:rPr>
      <w:fldChar w:fldCharType="begin"/>
    </w:r>
    <w:r w:rsidRPr="005948E7">
      <w:rPr>
        <w:rFonts w:ascii="Calibri" w:hAnsi="Calibri"/>
        <w:i/>
        <w:sz w:val="20"/>
        <w:szCs w:val="20"/>
      </w:rPr>
      <w:instrText xml:space="preserve"> TIME \@ "dd MMMM yyyy" </w:instrText>
    </w:r>
    <w:r w:rsidRPr="005948E7">
      <w:rPr>
        <w:rFonts w:ascii="Calibri" w:hAnsi="Calibri"/>
        <w:i/>
        <w:sz w:val="20"/>
        <w:szCs w:val="20"/>
      </w:rPr>
      <w:fldChar w:fldCharType="separate"/>
    </w:r>
    <w:r w:rsidR="00C76518">
      <w:rPr>
        <w:rFonts w:ascii="Calibri" w:hAnsi="Calibri"/>
        <w:i/>
        <w:noProof/>
        <w:sz w:val="20"/>
        <w:szCs w:val="20"/>
      </w:rPr>
      <w:t>10 December 2025</w:t>
    </w:r>
    <w:r w:rsidRPr="005948E7">
      <w:rPr>
        <w:rFonts w:ascii="Calibri" w:hAnsi="Calibri"/>
        <w:i/>
        <w:sz w:val="20"/>
        <w:szCs w:val="20"/>
      </w:rPr>
      <w:fldChar w:fldCharType="end"/>
    </w:r>
    <w:r w:rsidRPr="005948E7">
      <w:rPr>
        <w:rFonts w:ascii="Calibri" w:hAnsi="Calibri"/>
        <w:i/>
        <w:sz w:val="20"/>
        <w:szCs w:val="20"/>
      </w:rPr>
      <w:t xml:space="preserve">; please check </w:t>
    </w:r>
    <w:hyperlink r:id="rId1" w:history="1">
      <w:r w:rsidRPr="005948E7">
        <w:rPr>
          <w:rStyle w:val="Hyperlink"/>
          <w:rFonts w:ascii="Calibri" w:hAnsi="Calibri"/>
          <w:i/>
          <w:sz w:val="20"/>
          <w:szCs w:val="20"/>
        </w:rPr>
        <w:t>www.edren.org</w:t>
      </w:r>
    </w:hyperlink>
    <w:r w:rsidRPr="005948E7">
      <w:rPr>
        <w:rFonts w:ascii="Calibri" w:hAnsi="Calibri"/>
        <w:i/>
        <w:sz w:val="20"/>
        <w:szCs w:val="20"/>
      </w:rPr>
      <w:t xml:space="preserve"> for most up-to-date protocol.</w:t>
    </w:r>
  </w:p>
  <w:p w14:paraId="41E44360" w14:textId="77777777" w:rsidR="00265B19" w:rsidRPr="00F80228" w:rsidRDefault="00265B19" w:rsidP="00F80228">
    <w:pPr>
      <w:pStyle w:val="Footer"/>
      <w:jc w:val="right"/>
      <w:rPr>
        <w:rFonts w:ascii="Calibri" w:hAnsi="Calibri"/>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A595" w14:textId="77777777" w:rsidR="00FB22F0" w:rsidRDefault="00FB22F0">
      <w:r>
        <w:separator/>
      </w:r>
    </w:p>
  </w:footnote>
  <w:footnote w:type="continuationSeparator" w:id="0">
    <w:p w14:paraId="0F9C2237" w14:textId="77777777" w:rsidR="00FB22F0" w:rsidRDefault="00FB2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4E12"/>
    <w:multiLevelType w:val="hybridMultilevel"/>
    <w:tmpl w:val="8FB8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47A6E"/>
    <w:multiLevelType w:val="hybridMultilevel"/>
    <w:tmpl w:val="3AD6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B51AA"/>
    <w:multiLevelType w:val="hybridMultilevel"/>
    <w:tmpl w:val="70108C32"/>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CC7274"/>
    <w:multiLevelType w:val="hybridMultilevel"/>
    <w:tmpl w:val="75C8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96497"/>
    <w:multiLevelType w:val="hybridMultilevel"/>
    <w:tmpl w:val="91563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A34B1"/>
    <w:multiLevelType w:val="hybridMultilevel"/>
    <w:tmpl w:val="413E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AD759E"/>
    <w:multiLevelType w:val="hybridMultilevel"/>
    <w:tmpl w:val="0A84C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3E6E3F"/>
    <w:multiLevelType w:val="hybridMultilevel"/>
    <w:tmpl w:val="5CBA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3848657">
    <w:abstractNumId w:val="2"/>
  </w:num>
  <w:num w:numId="2" w16cid:durableId="1365524798">
    <w:abstractNumId w:val="0"/>
  </w:num>
  <w:num w:numId="3" w16cid:durableId="527717620">
    <w:abstractNumId w:val="3"/>
  </w:num>
  <w:num w:numId="4" w16cid:durableId="1920407246">
    <w:abstractNumId w:val="5"/>
  </w:num>
  <w:num w:numId="5" w16cid:durableId="555092958">
    <w:abstractNumId w:val="1"/>
  </w:num>
  <w:num w:numId="6" w16cid:durableId="1526559082">
    <w:abstractNumId w:val="7"/>
  </w:num>
  <w:num w:numId="7" w16cid:durableId="1238593021">
    <w:abstractNumId w:val="6"/>
  </w:num>
  <w:num w:numId="8" w16cid:durableId="1822428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107A"/>
    <w:rsid w:val="00054BAE"/>
    <w:rsid w:val="00082BBD"/>
    <w:rsid w:val="00091619"/>
    <w:rsid w:val="000C15F1"/>
    <w:rsid w:val="000E6548"/>
    <w:rsid w:val="000E6E80"/>
    <w:rsid w:val="00160F26"/>
    <w:rsid w:val="00162578"/>
    <w:rsid w:val="00186DAC"/>
    <w:rsid w:val="00190C0E"/>
    <w:rsid w:val="001A0FE3"/>
    <w:rsid w:val="001B6582"/>
    <w:rsid w:val="001B7CBB"/>
    <w:rsid w:val="001F184C"/>
    <w:rsid w:val="00202975"/>
    <w:rsid w:val="00265B19"/>
    <w:rsid w:val="00286AA7"/>
    <w:rsid w:val="00293B7B"/>
    <w:rsid w:val="002A1B2B"/>
    <w:rsid w:val="002D460B"/>
    <w:rsid w:val="003407C5"/>
    <w:rsid w:val="00342D85"/>
    <w:rsid w:val="00350B93"/>
    <w:rsid w:val="0035107A"/>
    <w:rsid w:val="0036517C"/>
    <w:rsid w:val="00384F4A"/>
    <w:rsid w:val="003A6E9E"/>
    <w:rsid w:val="003B4A19"/>
    <w:rsid w:val="00435BBF"/>
    <w:rsid w:val="004427A4"/>
    <w:rsid w:val="00462756"/>
    <w:rsid w:val="004D6F87"/>
    <w:rsid w:val="004E6F1D"/>
    <w:rsid w:val="005065CB"/>
    <w:rsid w:val="005852F5"/>
    <w:rsid w:val="005948E7"/>
    <w:rsid w:val="005B056B"/>
    <w:rsid w:val="005B5F97"/>
    <w:rsid w:val="005B6146"/>
    <w:rsid w:val="005C698A"/>
    <w:rsid w:val="005F044B"/>
    <w:rsid w:val="00615CF2"/>
    <w:rsid w:val="0062055E"/>
    <w:rsid w:val="00653258"/>
    <w:rsid w:val="00665703"/>
    <w:rsid w:val="00676922"/>
    <w:rsid w:val="00710221"/>
    <w:rsid w:val="00743E14"/>
    <w:rsid w:val="00753EE1"/>
    <w:rsid w:val="00757560"/>
    <w:rsid w:val="007639D7"/>
    <w:rsid w:val="007A7E70"/>
    <w:rsid w:val="007E270E"/>
    <w:rsid w:val="007E5D5E"/>
    <w:rsid w:val="007F1988"/>
    <w:rsid w:val="008067C9"/>
    <w:rsid w:val="008145BE"/>
    <w:rsid w:val="00823D6C"/>
    <w:rsid w:val="00837406"/>
    <w:rsid w:val="00843EEA"/>
    <w:rsid w:val="008619E3"/>
    <w:rsid w:val="00870C3D"/>
    <w:rsid w:val="008776DE"/>
    <w:rsid w:val="008A5BA6"/>
    <w:rsid w:val="008A6538"/>
    <w:rsid w:val="008C2429"/>
    <w:rsid w:val="008C7A93"/>
    <w:rsid w:val="008C7B2E"/>
    <w:rsid w:val="008D568E"/>
    <w:rsid w:val="008E09CB"/>
    <w:rsid w:val="008F40E0"/>
    <w:rsid w:val="009007B7"/>
    <w:rsid w:val="009463FF"/>
    <w:rsid w:val="00972E28"/>
    <w:rsid w:val="0098302F"/>
    <w:rsid w:val="0098553F"/>
    <w:rsid w:val="009E3084"/>
    <w:rsid w:val="009E30D2"/>
    <w:rsid w:val="00A02115"/>
    <w:rsid w:val="00A04FB3"/>
    <w:rsid w:val="00A34F56"/>
    <w:rsid w:val="00A378FB"/>
    <w:rsid w:val="00A4303E"/>
    <w:rsid w:val="00A71505"/>
    <w:rsid w:val="00A85095"/>
    <w:rsid w:val="00A8712D"/>
    <w:rsid w:val="00AE3CD2"/>
    <w:rsid w:val="00B13A0F"/>
    <w:rsid w:val="00B62256"/>
    <w:rsid w:val="00B85BAC"/>
    <w:rsid w:val="00BA2823"/>
    <w:rsid w:val="00BC42D0"/>
    <w:rsid w:val="00BF44DD"/>
    <w:rsid w:val="00BF70E6"/>
    <w:rsid w:val="00C305F6"/>
    <w:rsid w:val="00C76518"/>
    <w:rsid w:val="00CA1BC0"/>
    <w:rsid w:val="00CB5503"/>
    <w:rsid w:val="00CE4E83"/>
    <w:rsid w:val="00D20563"/>
    <w:rsid w:val="00D34FC3"/>
    <w:rsid w:val="00D61F18"/>
    <w:rsid w:val="00D7277C"/>
    <w:rsid w:val="00D72B5B"/>
    <w:rsid w:val="00D834F5"/>
    <w:rsid w:val="00E12BDD"/>
    <w:rsid w:val="00E35485"/>
    <w:rsid w:val="00E4149D"/>
    <w:rsid w:val="00E5750E"/>
    <w:rsid w:val="00E6232B"/>
    <w:rsid w:val="00EA5478"/>
    <w:rsid w:val="00EB1224"/>
    <w:rsid w:val="00ED237E"/>
    <w:rsid w:val="00EE45BC"/>
    <w:rsid w:val="00F01B82"/>
    <w:rsid w:val="00F27F20"/>
    <w:rsid w:val="00F80228"/>
    <w:rsid w:val="00FA3A96"/>
    <w:rsid w:val="00FB22F0"/>
    <w:rsid w:val="00FC6D89"/>
    <w:rsid w:val="00FC7AA3"/>
    <w:rsid w:val="00FE1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ECDCFF1"/>
  <w15:docId w15:val="{23597D37-6536-4DF9-BC87-3267A556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75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0228"/>
    <w:pPr>
      <w:tabs>
        <w:tab w:val="center" w:pos="4153"/>
        <w:tab w:val="right" w:pos="8306"/>
      </w:tabs>
    </w:pPr>
  </w:style>
  <w:style w:type="character" w:customStyle="1" w:styleId="HeaderChar">
    <w:name w:val="Header Char"/>
    <w:basedOn w:val="DefaultParagraphFont"/>
    <w:link w:val="Header"/>
    <w:uiPriority w:val="99"/>
    <w:rsid w:val="00571DC3"/>
    <w:rPr>
      <w:sz w:val="24"/>
      <w:szCs w:val="24"/>
      <w:lang w:eastAsia="en-US"/>
    </w:rPr>
  </w:style>
  <w:style w:type="paragraph" w:styleId="Footer">
    <w:name w:val="footer"/>
    <w:basedOn w:val="Normal"/>
    <w:link w:val="FooterChar"/>
    <w:uiPriority w:val="99"/>
    <w:rsid w:val="00F80228"/>
    <w:pPr>
      <w:tabs>
        <w:tab w:val="center" w:pos="4153"/>
        <w:tab w:val="right" w:pos="8306"/>
      </w:tabs>
    </w:pPr>
  </w:style>
  <w:style w:type="character" w:customStyle="1" w:styleId="FooterChar">
    <w:name w:val="Footer Char"/>
    <w:basedOn w:val="DefaultParagraphFont"/>
    <w:link w:val="Footer"/>
    <w:uiPriority w:val="99"/>
    <w:semiHidden/>
    <w:rsid w:val="00571DC3"/>
    <w:rPr>
      <w:sz w:val="24"/>
      <w:szCs w:val="24"/>
      <w:lang w:eastAsia="en-US"/>
    </w:rPr>
  </w:style>
  <w:style w:type="paragraph" w:styleId="ListParagraph">
    <w:name w:val="List Paragraph"/>
    <w:basedOn w:val="Normal"/>
    <w:uiPriority w:val="34"/>
    <w:qFormat/>
    <w:rsid w:val="00162578"/>
    <w:pPr>
      <w:ind w:left="720"/>
      <w:contextualSpacing/>
    </w:pPr>
  </w:style>
  <w:style w:type="paragraph" w:styleId="BlockText">
    <w:name w:val="Block Text"/>
    <w:basedOn w:val="Normal"/>
    <w:uiPriority w:val="99"/>
    <w:rsid w:val="00E5750E"/>
    <w:pPr>
      <w:tabs>
        <w:tab w:val="left" w:pos="1080"/>
      </w:tabs>
      <w:ind w:left="720" w:right="386"/>
      <w:jc w:val="both"/>
    </w:pPr>
  </w:style>
  <w:style w:type="paragraph" w:styleId="BalloonText">
    <w:name w:val="Balloon Text"/>
    <w:basedOn w:val="Normal"/>
    <w:link w:val="BalloonTextChar"/>
    <w:rsid w:val="00972E28"/>
    <w:rPr>
      <w:rFonts w:ascii="Tahoma" w:hAnsi="Tahoma" w:cs="Tahoma"/>
      <w:sz w:val="16"/>
      <w:szCs w:val="16"/>
    </w:rPr>
  </w:style>
  <w:style w:type="character" w:customStyle="1" w:styleId="BalloonTextChar">
    <w:name w:val="Balloon Text Char"/>
    <w:basedOn w:val="DefaultParagraphFont"/>
    <w:link w:val="BalloonText"/>
    <w:rsid w:val="00972E28"/>
    <w:rPr>
      <w:rFonts w:ascii="Tahoma" w:hAnsi="Tahoma" w:cs="Tahoma"/>
      <w:sz w:val="16"/>
      <w:szCs w:val="16"/>
      <w:lang w:eastAsia="en-US"/>
    </w:rPr>
  </w:style>
  <w:style w:type="table" w:styleId="TableGrid">
    <w:name w:val="Table Grid"/>
    <w:basedOn w:val="TableNormal"/>
    <w:uiPriority w:val="59"/>
    <w:rsid w:val="00054B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948E7"/>
    <w:rPr>
      <w:color w:val="0000FF" w:themeColor="hyperlink"/>
      <w:u w:val="single"/>
    </w:rPr>
  </w:style>
  <w:style w:type="character" w:styleId="UnresolvedMention">
    <w:name w:val="Unresolved Mention"/>
    <w:basedOn w:val="DefaultParagraphFont"/>
    <w:uiPriority w:val="99"/>
    <w:semiHidden/>
    <w:unhideWhenUsed/>
    <w:rsid w:val="00594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27665">
      <w:bodyDiv w:val="1"/>
      <w:marLeft w:val="0"/>
      <w:marRight w:val="0"/>
      <w:marTop w:val="0"/>
      <w:marBottom w:val="0"/>
      <w:divBdr>
        <w:top w:val="none" w:sz="0" w:space="0" w:color="auto"/>
        <w:left w:val="none" w:sz="0" w:space="0" w:color="auto"/>
        <w:bottom w:val="none" w:sz="0" w:space="0" w:color="auto"/>
        <w:right w:val="none" w:sz="0" w:space="0" w:color="auto"/>
      </w:divBdr>
      <w:divsChild>
        <w:div w:id="430662567">
          <w:marLeft w:val="0"/>
          <w:marRight w:val="0"/>
          <w:marTop w:val="0"/>
          <w:marBottom w:val="0"/>
          <w:divBdr>
            <w:top w:val="none" w:sz="0" w:space="0" w:color="auto"/>
            <w:left w:val="none" w:sz="0" w:space="0" w:color="auto"/>
            <w:bottom w:val="none" w:sz="0" w:space="0" w:color="auto"/>
            <w:right w:val="none" w:sz="0" w:space="0" w:color="auto"/>
          </w:divBdr>
          <w:divsChild>
            <w:div w:id="195771984">
              <w:marLeft w:val="-225"/>
              <w:marRight w:val="-225"/>
              <w:marTop w:val="0"/>
              <w:marBottom w:val="0"/>
              <w:divBdr>
                <w:top w:val="none" w:sz="0" w:space="0" w:color="auto"/>
                <w:left w:val="none" w:sz="0" w:space="0" w:color="auto"/>
                <w:bottom w:val="none" w:sz="0" w:space="0" w:color="auto"/>
                <w:right w:val="none" w:sz="0" w:space="0" w:color="auto"/>
              </w:divBdr>
              <w:divsChild>
                <w:div w:id="1113746740">
                  <w:marLeft w:val="0"/>
                  <w:marRight w:val="0"/>
                  <w:marTop w:val="0"/>
                  <w:marBottom w:val="0"/>
                  <w:divBdr>
                    <w:top w:val="none" w:sz="0" w:space="0" w:color="auto"/>
                    <w:left w:val="none" w:sz="0" w:space="0" w:color="auto"/>
                    <w:bottom w:val="none" w:sz="0" w:space="0" w:color="auto"/>
                    <w:right w:val="none" w:sz="0" w:space="0" w:color="auto"/>
                  </w:divBdr>
                  <w:divsChild>
                    <w:div w:id="1665426617">
                      <w:marLeft w:val="0"/>
                      <w:marRight w:val="0"/>
                      <w:marTop w:val="0"/>
                      <w:marBottom w:val="0"/>
                      <w:divBdr>
                        <w:top w:val="none" w:sz="0" w:space="0" w:color="auto"/>
                        <w:left w:val="none" w:sz="0" w:space="0" w:color="auto"/>
                        <w:bottom w:val="none" w:sz="0" w:space="0" w:color="auto"/>
                        <w:right w:val="none" w:sz="0" w:space="0" w:color="auto"/>
                      </w:divBdr>
                      <w:divsChild>
                        <w:div w:id="1119955179">
                          <w:marLeft w:val="0"/>
                          <w:marRight w:val="0"/>
                          <w:marTop w:val="0"/>
                          <w:marBottom w:val="0"/>
                          <w:divBdr>
                            <w:top w:val="none" w:sz="0" w:space="0" w:color="auto"/>
                            <w:left w:val="none" w:sz="0" w:space="0" w:color="auto"/>
                            <w:bottom w:val="none" w:sz="0" w:space="0" w:color="auto"/>
                            <w:right w:val="none" w:sz="0" w:space="0" w:color="auto"/>
                          </w:divBdr>
                          <w:divsChild>
                            <w:div w:id="1347100909">
                              <w:marLeft w:val="0"/>
                              <w:marRight w:val="0"/>
                              <w:marTop w:val="0"/>
                              <w:marBottom w:val="0"/>
                              <w:divBdr>
                                <w:top w:val="none" w:sz="0" w:space="0" w:color="auto"/>
                                <w:left w:val="none" w:sz="0" w:space="0" w:color="auto"/>
                                <w:bottom w:val="none" w:sz="0" w:space="0" w:color="auto"/>
                                <w:right w:val="none" w:sz="0" w:space="0" w:color="auto"/>
                              </w:divBdr>
                              <w:divsChild>
                                <w:div w:id="297730781">
                                  <w:marLeft w:val="0"/>
                                  <w:marRight w:val="0"/>
                                  <w:marTop w:val="0"/>
                                  <w:marBottom w:val="0"/>
                                  <w:divBdr>
                                    <w:top w:val="none" w:sz="0" w:space="0" w:color="auto"/>
                                    <w:left w:val="none" w:sz="0" w:space="0" w:color="auto"/>
                                    <w:bottom w:val="none" w:sz="0" w:space="0" w:color="auto"/>
                                    <w:right w:val="none" w:sz="0" w:space="0" w:color="auto"/>
                                  </w:divBdr>
                                  <w:divsChild>
                                    <w:div w:id="166778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50009">
      <w:bodyDiv w:val="1"/>
      <w:marLeft w:val="0"/>
      <w:marRight w:val="0"/>
      <w:marTop w:val="0"/>
      <w:marBottom w:val="0"/>
      <w:divBdr>
        <w:top w:val="none" w:sz="0" w:space="0" w:color="auto"/>
        <w:left w:val="none" w:sz="0" w:space="0" w:color="auto"/>
        <w:bottom w:val="none" w:sz="0" w:space="0" w:color="auto"/>
        <w:right w:val="none" w:sz="0" w:space="0" w:color="auto"/>
      </w:divBdr>
    </w:div>
    <w:div w:id="209277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lothian.scot.nhs.uk/Directory/Haematology/Thrombosis/Pages/default.asp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dr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Vascular Surgery guidelines</vt:lpstr>
    </vt:vector>
  </TitlesOfParts>
  <Company>LUHD</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Vascular Surgery guidelines</dc:title>
  <dc:creator>jinwerne.hah</dc:creator>
  <cp:lastModifiedBy>Hunter, Robert W</cp:lastModifiedBy>
  <cp:revision>12</cp:revision>
  <cp:lastPrinted>2017-05-31T17:21:00Z</cp:lastPrinted>
  <dcterms:created xsi:type="dcterms:W3CDTF">2022-09-12T12:07:00Z</dcterms:created>
  <dcterms:modified xsi:type="dcterms:W3CDTF">2025-12-10T11:39:00Z</dcterms:modified>
</cp:coreProperties>
</file>