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407"/>
        <w:tblW w:w="889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94"/>
      </w:tblGrid>
      <w:tr w:rsidR="005F044B" w:rsidTr="00972E28">
        <w:trPr>
          <w:trHeight w:val="1258"/>
        </w:trPr>
        <w:tc>
          <w:tcPr>
            <w:tcW w:w="8894" w:type="dxa"/>
          </w:tcPr>
          <w:p w:rsidR="005F044B" w:rsidRDefault="009C2B01" w:rsidP="00972E28">
            <w:pPr>
              <w:rPr>
                <w:rFonts w:ascii="Calibri" w:hAnsi="Calibri" w:cs="Arial"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4702810</wp:posOffset>
                  </wp:positionH>
                  <wp:positionV relativeFrom="paragraph">
                    <wp:posOffset>0</wp:posOffset>
                  </wp:positionV>
                  <wp:extent cx="876300" cy="690245"/>
                  <wp:effectExtent l="19050" t="0" r="0" b="0"/>
                  <wp:wrapTight wrapText="bothSides">
                    <wp:wrapPolygon edited="0">
                      <wp:start x="-470" y="0"/>
                      <wp:lineTo x="-470" y="20865"/>
                      <wp:lineTo x="21600" y="20865"/>
                      <wp:lineTo x="21600" y="0"/>
                      <wp:lineTo x="-47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t="13043" b="81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690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F044B">
              <w:rPr>
                <w:rFonts w:ascii="Calibri" w:hAnsi="Calibri" w:cs="Arial"/>
                <w:sz w:val="28"/>
                <w:szCs w:val="28"/>
              </w:rPr>
              <w:t>Renal Directorate Guidelines</w:t>
            </w:r>
          </w:p>
          <w:p w:rsidR="005F044B" w:rsidRPr="00972E28" w:rsidRDefault="009C2B01" w:rsidP="00972E28">
            <w:pPr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Ro</w:t>
            </w:r>
            <w:r w:rsidR="005F044B">
              <w:rPr>
                <w:rFonts w:ascii="Calibri" w:hAnsi="Calibri" w:cs="Arial"/>
                <w:sz w:val="28"/>
                <w:szCs w:val="28"/>
              </w:rPr>
              <w:t>yal Infirmary of Edinburgh</w:t>
            </w:r>
          </w:p>
        </w:tc>
      </w:tr>
    </w:tbl>
    <w:p w:rsidR="00A04FB3" w:rsidRPr="009C2B01" w:rsidRDefault="00472683" w:rsidP="00972E28">
      <w:pPr>
        <w:rPr>
          <w:rFonts w:ascii="Calibri" w:hAnsi="Calibri" w:cs="Arial"/>
          <w:b/>
          <w:sz w:val="32"/>
          <w:szCs w:val="32"/>
        </w:rPr>
      </w:pPr>
      <w:r>
        <w:rPr>
          <w:rFonts w:ascii="Calibri" w:hAnsi="Calibri" w:cs="Arial"/>
          <w:b/>
          <w:sz w:val="32"/>
          <w:szCs w:val="32"/>
        </w:rPr>
        <w:t>Finerenone</w:t>
      </w:r>
    </w:p>
    <w:tbl>
      <w:tblPr>
        <w:tblW w:w="11057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02"/>
        <w:gridCol w:w="9355"/>
      </w:tblGrid>
      <w:tr w:rsidR="00753EE1" w:rsidRPr="00E12BDD" w:rsidTr="00D23327">
        <w:tc>
          <w:tcPr>
            <w:tcW w:w="1702" w:type="dxa"/>
          </w:tcPr>
          <w:p w:rsidR="00753EE1" w:rsidRPr="00823D6C" w:rsidRDefault="00753EE1" w:rsidP="009E30D2">
            <w:pPr>
              <w:rPr>
                <w:rFonts w:ascii="Calibri" w:hAnsi="Calibri" w:cs="Arial"/>
                <w:b/>
              </w:rPr>
            </w:pPr>
            <w:r w:rsidRPr="00823D6C">
              <w:rPr>
                <w:rFonts w:ascii="Calibri" w:hAnsi="Calibri" w:cs="Arial"/>
                <w:b/>
              </w:rPr>
              <w:t>Indication</w:t>
            </w:r>
            <w:r w:rsidR="008E3C83">
              <w:rPr>
                <w:rFonts w:ascii="Calibri" w:hAnsi="Calibri" w:cs="Arial"/>
                <w:b/>
              </w:rPr>
              <w:t xml:space="preserve"> and additional i</w:t>
            </w:r>
            <w:r>
              <w:rPr>
                <w:rFonts w:ascii="Calibri" w:hAnsi="Calibri" w:cs="Arial"/>
                <w:b/>
              </w:rPr>
              <w:t>nformation</w:t>
            </w:r>
          </w:p>
        </w:tc>
        <w:tc>
          <w:tcPr>
            <w:tcW w:w="9355" w:type="dxa"/>
          </w:tcPr>
          <w:p w:rsidR="00753EE1" w:rsidRDefault="00781D75" w:rsidP="00753EE1">
            <w:pPr>
              <w:pStyle w:val="BlockText"/>
              <w:ind w:left="0" w:right="-79"/>
              <w:rPr>
                <w:rFonts w:ascii="Calibri" w:hAnsi="Calibri"/>
                <w:b/>
                <w:iCs/>
              </w:rPr>
            </w:pPr>
            <w:r>
              <w:rPr>
                <w:rFonts w:ascii="Calibri" w:hAnsi="Calibri"/>
                <w:b/>
                <w:iCs/>
              </w:rPr>
              <w:t>Treatment of chronic kidney disease (Stage 3 and 4 with albuminuria) associated with Type 2 diabete</w:t>
            </w:r>
            <w:r w:rsidR="00FA6BCF">
              <w:rPr>
                <w:rFonts w:ascii="Calibri" w:hAnsi="Calibri"/>
                <w:b/>
                <w:iCs/>
              </w:rPr>
              <w:t xml:space="preserve">s in adults </w:t>
            </w:r>
          </w:p>
          <w:p w:rsidR="009C2B01" w:rsidRDefault="00FA6BCF" w:rsidP="007B3AAA">
            <w:pPr>
              <w:pStyle w:val="NormalWeb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FA6BCF">
              <w:rPr>
                <w:rFonts w:asciiTheme="minorHAnsi" w:hAnsiTheme="minorHAnsi" w:cstheme="minorHAnsi"/>
                <w:color w:val="000000"/>
              </w:rPr>
              <w:t>Finerenone is a non-steroidal mineralocorticoid antagonist, which is associated with a lower incidence of hyperkalaemia than spironolactone in clinical trials.</w:t>
            </w:r>
          </w:p>
          <w:p w:rsidR="009C2B01" w:rsidRDefault="00FA6BCF" w:rsidP="007B3AAA">
            <w:pPr>
              <w:pStyle w:val="NormalWeb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FA6BCF">
              <w:rPr>
                <w:rFonts w:asciiTheme="minorHAnsi" w:hAnsiTheme="minorHAnsi" w:cstheme="minorHAnsi"/>
                <w:color w:val="000000"/>
              </w:rPr>
              <w:t xml:space="preserve">In the FIDELIO trial it reduced the risk of end-stage kidney disease, renal-related death or &gt;40% reduction in GFR by 18% compared to standard of care in patients with diabetic kidney disease and eGFR 25-60ml/min and moderately elevated albuminuria (ACR 3-30 mg/mmol) or patients with eGFR 25-75ml/min and severely elevated ACR (30-500). </w:t>
            </w:r>
          </w:p>
          <w:p w:rsidR="007B3AAA" w:rsidRPr="007B3AAA" w:rsidRDefault="00FA6BCF" w:rsidP="007B3AAA">
            <w:pPr>
              <w:pStyle w:val="NormalWeb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FA6BCF">
              <w:rPr>
                <w:rFonts w:asciiTheme="minorHAnsi" w:hAnsiTheme="minorHAnsi" w:cstheme="minorHAnsi"/>
                <w:color w:val="000000"/>
              </w:rPr>
              <w:t>Similarly, in the FIGARO trial, it reduced cardiovascular end-points by 17% compared to standard care in a comparable cohort of patients with type 2 diabetes.</w:t>
            </w:r>
          </w:p>
        </w:tc>
      </w:tr>
      <w:tr w:rsidR="004427A4" w:rsidRPr="00E12BDD" w:rsidTr="00D23327">
        <w:tc>
          <w:tcPr>
            <w:tcW w:w="1702" w:type="dxa"/>
          </w:tcPr>
          <w:p w:rsidR="004427A4" w:rsidRPr="00823D6C" w:rsidRDefault="004427A4" w:rsidP="009E30D2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Criteria for treatment</w:t>
            </w:r>
          </w:p>
        </w:tc>
        <w:tc>
          <w:tcPr>
            <w:tcW w:w="9355" w:type="dxa"/>
          </w:tcPr>
          <w:p w:rsidR="007B3AAA" w:rsidRPr="00FA6BCF" w:rsidRDefault="007B3AAA" w:rsidP="007B3AAA">
            <w:pPr>
              <w:pStyle w:val="NormalWeb"/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A</w:t>
            </w:r>
            <w:r w:rsidRPr="00FA6BCF">
              <w:rPr>
                <w:rFonts w:asciiTheme="minorHAnsi" w:hAnsiTheme="minorHAnsi" w:cstheme="minorHAnsi"/>
                <w:color w:val="000000"/>
              </w:rPr>
              <w:t>ddition of finerenone should be considered to reduce the risk of adverse kidney and cardiovascular outcomes in people:</w:t>
            </w:r>
          </w:p>
          <w:p w:rsidR="0048740B" w:rsidRDefault="007B3AAA" w:rsidP="007B3AAA">
            <w:pPr>
              <w:pStyle w:val="NormalWeb"/>
              <w:rPr>
                <w:rFonts w:asciiTheme="minorHAnsi" w:hAnsiTheme="minorHAnsi" w:cstheme="minorHAnsi"/>
                <w:color w:val="000000"/>
              </w:rPr>
            </w:pPr>
            <w:r w:rsidRPr="00FA6BCF">
              <w:rPr>
                <w:rFonts w:asciiTheme="minorHAnsi" w:hAnsiTheme="minorHAnsi" w:cstheme="minorHAnsi"/>
                <w:color w:val="000000"/>
              </w:rPr>
              <w:t>· with T2DM and CKD who hav</w:t>
            </w:r>
            <w:r w:rsidR="009F476F">
              <w:rPr>
                <w:rFonts w:asciiTheme="minorHAnsi" w:hAnsiTheme="minorHAnsi" w:cstheme="minorHAnsi"/>
                <w:color w:val="000000"/>
              </w:rPr>
              <w:t>e persistent albuminuria</w:t>
            </w:r>
            <w:r w:rsidR="0048740B">
              <w:rPr>
                <w:rFonts w:asciiTheme="minorHAnsi" w:hAnsiTheme="minorHAnsi" w:cstheme="minorHAnsi"/>
                <w:color w:val="000000"/>
              </w:rPr>
              <w:t>:</w:t>
            </w:r>
          </w:p>
          <w:p w:rsidR="0048740B" w:rsidRPr="00FC1702" w:rsidRDefault="0048740B" w:rsidP="007B3AAA">
            <w:pPr>
              <w:pStyle w:val="NormalWeb"/>
              <w:rPr>
                <w:rFonts w:asciiTheme="minorHAnsi" w:hAnsiTheme="minorHAnsi" w:cstheme="minorHAnsi"/>
              </w:rPr>
            </w:pPr>
            <w:r w:rsidRPr="00FC1702">
              <w:rPr>
                <w:rFonts w:asciiTheme="minorHAnsi" w:hAnsiTheme="minorHAnsi" w:cstheme="minorHAnsi"/>
              </w:rPr>
              <w:t xml:space="preserve">If </w:t>
            </w:r>
            <w:r w:rsidR="009F476F" w:rsidRPr="00FC1702">
              <w:rPr>
                <w:rFonts w:asciiTheme="minorHAnsi" w:hAnsiTheme="minorHAnsi" w:cstheme="minorHAnsi"/>
              </w:rPr>
              <w:t>ACR&gt;3</w:t>
            </w:r>
            <w:r w:rsidR="007B3AAA" w:rsidRPr="00FC1702">
              <w:rPr>
                <w:rFonts w:asciiTheme="minorHAnsi" w:hAnsiTheme="minorHAnsi" w:cstheme="minorHAnsi"/>
              </w:rPr>
              <w:t>mg/mmol</w:t>
            </w:r>
            <w:r w:rsidRPr="00FC1702">
              <w:rPr>
                <w:rFonts w:asciiTheme="minorHAnsi" w:hAnsiTheme="minorHAnsi" w:cstheme="minorHAnsi"/>
              </w:rPr>
              <w:t xml:space="preserve"> and eGFR 25-60ml/min</w:t>
            </w:r>
          </w:p>
          <w:p w:rsidR="009F476F" w:rsidRPr="00FC1702" w:rsidRDefault="0048740B" w:rsidP="007B3AAA">
            <w:pPr>
              <w:pStyle w:val="NormalWeb"/>
              <w:rPr>
                <w:rFonts w:asciiTheme="minorHAnsi" w:hAnsiTheme="minorHAnsi" w:cstheme="minorHAnsi"/>
              </w:rPr>
            </w:pPr>
            <w:r w:rsidRPr="00FC1702">
              <w:rPr>
                <w:rFonts w:asciiTheme="minorHAnsi" w:hAnsiTheme="minorHAnsi" w:cstheme="minorHAnsi"/>
              </w:rPr>
              <w:t>If ACR&gt;30mg/mmol (PCR &gt;50mg/mmol) and eGFR &gt;60ml/min</w:t>
            </w:r>
            <w:r w:rsidR="00D23327" w:rsidRPr="00FC1702">
              <w:rPr>
                <w:rFonts w:asciiTheme="minorHAnsi" w:hAnsiTheme="minorHAnsi" w:cstheme="minorHAnsi"/>
              </w:rPr>
              <w:t xml:space="preserve"> (N</w:t>
            </w:r>
            <w:r w:rsidR="009F476F" w:rsidRPr="00FC1702">
              <w:rPr>
                <w:rFonts w:asciiTheme="minorHAnsi" w:hAnsiTheme="minorHAnsi" w:cstheme="minorHAnsi"/>
              </w:rPr>
              <w:t>o maximum eGFR as upper limit cannot be measured</w:t>
            </w:r>
            <w:r w:rsidR="00D23327" w:rsidRPr="00FC1702">
              <w:rPr>
                <w:rFonts w:asciiTheme="minorHAnsi" w:hAnsiTheme="minorHAnsi" w:cstheme="minorHAnsi"/>
              </w:rPr>
              <w:t xml:space="preserve"> accurately)</w:t>
            </w:r>
          </w:p>
          <w:p w:rsidR="007B3AAA" w:rsidRPr="00FA6BCF" w:rsidRDefault="007B3AAA" w:rsidP="007B3AAA">
            <w:pPr>
              <w:pStyle w:val="NormalWeb"/>
              <w:rPr>
                <w:rFonts w:asciiTheme="minorHAnsi" w:hAnsiTheme="minorHAnsi" w:cstheme="minorHAnsi"/>
                <w:color w:val="000000"/>
              </w:rPr>
            </w:pPr>
            <w:r w:rsidRPr="00FA6BCF">
              <w:rPr>
                <w:rFonts w:asciiTheme="minorHAnsi" w:hAnsiTheme="minorHAnsi" w:cstheme="minorHAnsi"/>
                <w:color w:val="000000"/>
              </w:rPr>
              <w:t>· who are already on maximum tolerated dose of RASi and SGLT2i</w:t>
            </w:r>
            <w:r w:rsidR="00153326">
              <w:rPr>
                <w:rFonts w:asciiTheme="minorHAnsi" w:hAnsiTheme="minorHAnsi" w:cstheme="minorHAnsi"/>
                <w:color w:val="000000"/>
              </w:rPr>
              <w:t xml:space="preserve"> (or if contraindicated or not tolerated)</w:t>
            </w:r>
          </w:p>
          <w:p w:rsidR="004427A4" w:rsidRPr="009C2B01" w:rsidRDefault="007B3AAA" w:rsidP="009C2B01">
            <w:pPr>
              <w:pStyle w:val="NormalWeb"/>
              <w:rPr>
                <w:rFonts w:asciiTheme="minorHAnsi" w:hAnsiTheme="minorHAnsi" w:cstheme="minorHAnsi"/>
                <w:color w:val="000000"/>
              </w:rPr>
            </w:pPr>
            <w:r w:rsidRPr="00FA6BCF">
              <w:rPr>
                <w:rFonts w:asciiTheme="minorHAnsi" w:hAnsiTheme="minorHAnsi" w:cstheme="minorHAnsi"/>
                <w:color w:val="000000"/>
              </w:rPr>
              <w:t>· who typically have serum pot</w:t>
            </w:r>
            <w:r>
              <w:rPr>
                <w:rFonts w:asciiTheme="minorHAnsi" w:hAnsiTheme="minorHAnsi" w:cstheme="minorHAnsi"/>
                <w:color w:val="000000"/>
              </w:rPr>
              <w:t>assium concentrations &lt; 5 mmol/L</w:t>
            </w:r>
          </w:p>
        </w:tc>
      </w:tr>
      <w:tr w:rsidR="005F044B" w:rsidRPr="00E12BDD" w:rsidTr="00D23327">
        <w:tc>
          <w:tcPr>
            <w:tcW w:w="1702" w:type="dxa"/>
          </w:tcPr>
          <w:p w:rsidR="005F044B" w:rsidRPr="00823D6C" w:rsidRDefault="005F044B" w:rsidP="001C345B">
            <w:pPr>
              <w:rPr>
                <w:rFonts w:ascii="Calibri" w:hAnsi="Calibri" w:cs="Arial"/>
                <w:b/>
              </w:rPr>
            </w:pPr>
            <w:r w:rsidRPr="00823D6C">
              <w:rPr>
                <w:rFonts w:ascii="Calibri" w:hAnsi="Calibri" w:cs="Arial"/>
                <w:b/>
              </w:rPr>
              <w:t xml:space="preserve">Dosage and </w:t>
            </w:r>
            <w:r w:rsidR="001C345B">
              <w:rPr>
                <w:rFonts w:ascii="Calibri" w:hAnsi="Calibri" w:cs="Arial"/>
                <w:b/>
              </w:rPr>
              <w:t>monitoring</w:t>
            </w:r>
          </w:p>
        </w:tc>
        <w:tc>
          <w:tcPr>
            <w:tcW w:w="9355" w:type="dxa"/>
          </w:tcPr>
          <w:p w:rsidR="00D42A21" w:rsidRPr="00D42A21" w:rsidRDefault="00D42A21" w:rsidP="009463FF">
            <w:pPr>
              <w:pStyle w:val="BlockText"/>
              <w:ind w:left="0" w:right="-79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iCs/>
              </w:rPr>
              <w:t xml:space="preserve">Initiation </w:t>
            </w:r>
          </w:p>
          <w:p w:rsidR="00D42A21" w:rsidRDefault="00D42A21" w:rsidP="009463FF">
            <w:pPr>
              <w:pStyle w:val="BlockText"/>
              <w:ind w:left="0" w:right="-79"/>
              <w:rPr>
                <w:rFonts w:ascii="Calibri" w:hAnsi="Calibri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838"/>
              <w:gridCol w:w="1249"/>
              <w:gridCol w:w="1586"/>
              <w:gridCol w:w="2872"/>
              <w:gridCol w:w="1843"/>
            </w:tblGrid>
            <w:tr w:rsidR="00F13645" w:rsidTr="00D23327">
              <w:tc>
                <w:tcPr>
                  <w:tcW w:w="838" w:type="dxa"/>
                </w:tcPr>
                <w:p w:rsidR="00F13645" w:rsidRPr="00F13645" w:rsidRDefault="00F13645" w:rsidP="00F13645">
                  <w:pPr>
                    <w:pStyle w:val="BlockText"/>
                    <w:ind w:left="0" w:right="-79"/>
                    <w:rPr>
                      <w:rFonts w:ascii="Calibri" w:hAnsi="Calibri"/>
                      <w:b/>
                    </w:rPr>
                  </w:pPr>
                  <w:r w:rsidRPr="00F13645">
                    <w:rPr>
                      <w:rFonts w:ascii="Calibri" w:hAnsi="Calibri"/>
                      <w:b/>
                    </w:rPr>
                    <w:t>eGFR</w:t>
                  </w:r>
                </w:p>
              </w:tc>
              <w:tc>
                <w:tcPr>
                  <w:tcW w:w="1249" w:type="dxa"/>
                </w:tcPr>
                <w:p w:rsidR="00F13645" w:rsidRPr="00F13645" w:rsidRDefault="00F13645" w:rsidP="00F13645">
                  <w:pPr>
                    <w:pStyle w:val="BlockText"/>
                    <w:ind w:left="0" w:right="-79"/>
                    <w:rPr>
                      <w:rFonts w:ascii="Calibri" w:hAnsi="Calibri"/>
                      <w:b/>
                    </w:rPr>
                  </w:pPr>
                  <w:r w:rsidRPr="00F13645">
                    <w:rPr>
                      <w:rFonts w:ascii="Calibri" w:hAnsi="Calibri"/>
                      <w:b/>
                    </w:rPr>
                    <w:t>Initial Potassium</w:t>
                  </w:r>
                </w:p>
              </w:tc>
              <w:tc>
                <w:tcPr>
                  <w:tcW w:w="1586" w:type="dxa"/>
                </w:tcPr>
                <w:p w:rsidR="00F13645" w:rsidRPr="00F13645" w:rsidRDefault="00F13645" w:rsidP="00F13645">
                  <w:pPr>
                    <w:pStyle w:val="BlockText"/>
                    <w:ind w:left="0" w:right="-79"/>
                    <w:rPr>
                      <w:rFonts w:ascii="Calibri" w:hAnsi="Calibri"/>
                      <w:b/>
                    </w:rPr>
                  </w:pPr>
                  <w:r w:rsidRPr="00F13645">
                    <w:rPr>
                      <w:rFonts w:ascii="Calibri" w:hAnsi="Calibri" w:cs="Calibri"/>
                      <w:b/>
                    </w:rPr>
                    <w:t>≤4.8</w:t>
                  </w:r>
                  <w:r>
                    <w:rPr>
                      <w:rFonts w:ascii="Calibri" w:hAnsi="Calibri" w:cs="Calibri"/>
                      <w:b/>
                    </w:rPr>
                    <w:t>mmols/L</w:t>
                  </w:r>
                </w:p>
              </w:tc>
              <w:tc>
                <w:tcPr>
                  <w:tcW w:w="2872" w:type="dxa"/>
                </w:tcPr>
                <w:p w:rsidR="00F13645" w:rsidRPr="00F13645" w:rsidRDefault="00F13645" w:rsidP="00F13645">
                  <w:pPr>
                    <w:pStyle w:val="BlockText"/>
                    <w:ind w:left="0" w:right="-79"/>
                    <w:rPr>
                      <w:rFonts w:ascii="Calibri" w:hAnsi="Calibri"/>
                      <w:b/>
                    </w:rPr>
                  </w:pPr>
                  <w:r w:rsidRPr="00F13645">
                    <w:rPr>
                      <w:rFonts w:ascii="Calibri" w:hAnsi="Calibri"/>
                      <w:b/>
                    </w:rPr>
                    <w:t>&gt;4.8-5.0</w:t>
                  </w:r>
                  <w:r w:rsidR="008626AE">
                    <w:rPr>
                      <w:rFonts w:ascii="Calibri" w:hAnsi="Calibri"/>
                      <w:b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mmols/L</w:t>
                  </w:r>
                </w:p>
              </w:tc>
              <w:tc>
                <w:tcPr>
                  <w:tcW w:w="1843" w:type="dxa"/>
                </w:tcPr>
                <w:p w:rsidR="00F13645" w:rsidRPr="00F13645" w:rsidRDefault="00F13645" w:rsidP="00F13645">
                  <w:pPr>
                    <w:pStyle w:val="BlockText"/>
                    <w:ind w:left="0" w:right="-79"/>
                    <w:rPr>
                      <w:rFonts w:ascii="Calibri" w:hAnsi="Calibri"/>
                      <w:b/>
                    </w:rPr>
                  </w:pPr>
                  <w:r w:rsidRPr="00F13645">
                    <w:rPr>
                      <w:rFonts w:ascii="Calibri" w:hAnsi="Calibri"/>
                      <w:b/>
                    </w:rPr>
                    <w:t>&gt;5.0</w:t>
                  </w:r>
                  <w:r w:rsidR="008626AE">
                    <w:rPr>
                      <w:rFonts w:ascii="Calibri" w:hAnsi="Calibri"/>
                      <w:b/>
                    </w:rPr>
                    <w:t xml:space="preserve">mmols/L </w:t>
                  </w:r>
                </w:p>
              </w:tc>
            </w:tr>
            <w:tr w:rsidR="00F13645" w:rsidTr="00D23327">
              <w:tc>
                <w:tcPr>
                  <w:tcW w:w="2087" w:type="dxa"/>
                  <w:gridSpan w:val="2"/>
                </w:tcPr>
                <w:p w:rsidR="00F13645" w:rsidRPr="00F13645" w:rsidRDefault="00F13645" w:rsidP="00F13645">
                  <w:pPr>
                    <w:pStyle w:val="BlockText"/>
                    <w:ind w:left="0" w:right="-79"/>
                    <w:rPr>
                      <w:rFonts w:ascii="Calibri" w:hAnsi="Calibri"/>
                      <w:b/>
                    </w:rPr>
                  </w:pPr>
                  <w:r w:rsidRPr="00F13645">
                    <w:rPr>
                      <w:rFonts w:ascii="Calibri" w:hAnsi="Calibri" w:cs="Calibri"/>
                      <w:b/>
                    </w:rPr>
                    <w:t>≥</w:t>
                  </w:r>
                  <w:r w:rsidRPr="00F13645">
                    <w:rPr>
                      <w:rFonts w:ascii="Calibri" w:hAnsi="Calibri"/>
                      <w:b/>
                    </w:rPr>
                    <w:t xml:space="preserve">60ml/min    </w:t>
                  </w:r>
                </w:p>
              </w:tc>
              <w:tc>
                <w:tcPr>
                  <w:tcW w:w="1586" w:type="dxa"/>
                </w:tcPr>
                <w:p w:rsidR="00F13645" w:rsidRDefault="00F13645" w:rsidP="00A17727">
                  <w:pPr>
                    <w:pStyle w:val="BlockText"/>
                    <w:ind w:left="0" w:right="-79"/>
                    <w:jc w:val="lef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20mg once daily</w:t>
                  </w:r>
                </w:p>
              </w:tc>
              <w:tc>
                <w:tcPr>
                  <w:tcW w:w="2872" w:type="dxa"/>
                </w:tcPr>
                <w:p w:rsidR="00F13645" w:rsidRDefault="00F13645" w:rsidP="00A17727">
                  <w:pPr>
                    <w:pStyle w:val="BlockText"/>
                    <w:ind w:left="0" w:right="-79"/>
                    <w:jc w:val="lef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20mg once daily with additional potassium monitoring</w:t>
                  </w:r>
                </w:p>
              </w:tc>
              <w:tc>
                <w:tcPr>
                  <w:tcW w:w="1843" w:type="dxa"/>
                </w:tcPr>
                <w:p w:rsidR="00F13645" w:rsidRDefault="00F13645" w:rsidP="00A17727">
                  <w:pPr>
                    <w:pStyle w:val="BlockText"/>
                    <w:ind w:left="0" w:right="-79"/>
                    <w:jc w:val="lef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Initiation not recommended</w:t>
                  </w:r>
                </w:p>
              </w:tc>
            </w:tr>
            <w:tr w:rsidR="00F13645" w:rsidTr="00D23327">
              <w:tc>
                <w:tcPr>
                  <w:tcW w:w="2087" w:type="dxa"/>
                  <w:gridSpan w:val="2"/>
                </w:tcPr>
                <w:p w:rsidR="00F13645" w:rsidRPr="00F13645" w:rsidRDefault="00F13645" w:rsidP="00F13645">
                  <w:pPr>
                    <w:pStyle w:val="BlockText"/>
                    <w:ind w:left="0" w:right="-79"/>
                    <w:rPr>
                      <w:rFonts w:ascii="Calibri" w:hAnsi="Calibri"/>
                      <w:b/>
                    </w:rPr>
                  </w:pPr>
                  <w:r w:rsidRPr="00F13645">
                    <w:rPr>
                      <w:rFonts w:ascii="Calibri" w:hAnsi="Calibri"/>
                      <w:b/>
                    </w:rPr>
                    <w:t>25-60ml/min</w:t>
                  </w:r>
                </w:p>
              </w:tc>
              <w:tc>
                <w:tcPr>
                  <w:tcW w:w="1586" w:type="dxa"/>
                </w:tcPr>
                <w:p w:rsidR="00F13645" w:rsidRDefault="00F13645" w:rsidP="00A17727">
                  <w:pPr>
                    <w:pStyle w:val="BlockText"/>
                    <w:ind w:left="0" w:right="-79"/>
                    <w:jc w:val="lef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 xml:space="preserve">10mg once daily </w:t>
                  </w:r>
                </w:p>
              </w:tc>
              <w:tc>
                <w:tcPr>
                  <w:tcW w:w="2872" w:type="dxa"/>
                </w:tcPr>
                <w:p w:rsidR="00F13645" w:rsidRDefault="00F13645" w:rsidP="00A17727">
                  <w:pPr>
                    <w:pStyle w:val="BlockText"/>
                    <w:ind w:left="0" w:right="-79"/>
                    <w:jc w:val="lef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10mg once daily with additional potassium monitoring</w:t>
                  </w:r>
                </w:p>
              </w:tc>
              <w:tc>
                <w:tcPr>
                  <w:tcW w:w="1843" w:type="dxa"/>
                </w:tcPr>
                <w:p w:rsidR="00F13645" w:rsidRDefault="00F13645" w:rsidP="00A17727">
                  <w:pPr>
                    <w:pStyle w:val="BlockText"/>
                    <w:ind w:left="0" w:right="-79"/>
                    <w:jc w:val="lef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Initiation not recommended</w:t>
                  </w:r>
                </w:p>
              </w:tc>
            </w:tr>
            <w:tr w:rsidR="00F13645" w:rsidTr="00D23327">
              <w:tc>
                <w:tcPr>
                  <w:tcW w:w="2087" w:type="dxa"/>
                  <w:gridSpan w:val="2"/>
                </w:tcPr>
                <w:p w:rsidR="00F13645" w:rsidRPr="00F13645" w:rsidRDefault="00F13645" w:rsidP="00F13645">
                  <w:pPr>
                    <w:pStyle w:val="BlockText"/>
                    <w:ind w:left="0" w:right="-79"/>
                    <w:rPr>
                      <w:rFonts w:ascii="Calibri" w:hAnsi="Calibri"/>
                      <w:b/>
                    </w:rPr>
                  </w:pPr>
                  <w:r w:rsidRPr="00F13645">
                    <w:rPr>
                      <w:rFonts w:ascii="Calibri" w:hAnsi="Calibri"/>
                      <w:b/>
                    </w:rPr>
                    <w:t>&lt;25ml/min</w:t>
                  </w:r>
                </w:p>
              </w:tc>
              <w:tc>
                <w:tcPr>
                  <w:tcW w:w="6301" w:type="dxa"/>
                  <w:gridSpan w:val="3"/>
                </w:tcPr>
                <w:p w:rsidR="00F13645" w:rsidRPr="00FC1702" w:rsidRDefault="00F13645" w:rsidP="00F13645">
                  <w:pPr>
                    <w:pStyle w:val="BlockText"/>
                    <w:ind w:left="0" w:right="-79"/>
                    <w:rPr>
                      <w:rFonts w:ascii="Calibri" w:hAnsi="Calibri"/>
                    </w:rPr>
                  </w:pPr>
                  <w:r w:rsidRPr="00FC1702">
                    <w:rPr>
                      <w:rFonts w:ascii="Calibri" w:hAnsi="Calibri"/>
                    </w:rPr>
                    <w:t>Initiation not recommended</w:t>
                  </w:r>
                  <w:r w:rsidR="009F476F" w:rsidRPr="00FC1702">
                    <w:rPr>
                      <w:rFonts w:ascii="Calibri" w:hAnsi="Calibri"/>
                    </w:rPr>
                    <w:t xml:space="preserve"> </w:t>
                  </w:r>
                  <w:r w:rsidR="00D23327" w:rsidRPr="00FC1702">
                    <w:rPr>
                      <w:rFonts w:ascii="Calibri" w:hAnsi="Calibri"/>
                    </w:rPr>
                    <w:t xml:space="preserve">(but if already on treatment then </w:t>
                  </w:r>
                  <w:r w:rsidR="009F476F" w:rsidRPr="00FC1702">
                    <w:rPr>
                      <w:rFonts w:ascii="Calibri" w:hAnsi="Calibri"/>
                    </w:rPr>
                    <w:t>can continue to eGFR of 15</w:t>
                  </w:r>
                  <w:r w:rsidR="00D23327" w:rsidRPr="00FC1702">
                    <w:rPr>
                      <w:rFonts w:ascii="Calibri" w:hAnsi="Calibri"/>
                    </w:rPr>
                    <w:t>ml/min</w:t>
                  </w:r>
                  <w:r w:rsidR="009F476F" w:rsidRPr="00FC1702">
                    <w:rPr>
                      <w:rFonts w:ascii="Calibri" w:hAnsi="Calibri"/>
                    </w:rPr>
                    <w:t>)</w:t>
                  </w:r>
                </w:p>
              </w:tc>
              <w:bookmarkStart w:id="0" w:name="_GoBack"/>
              <w:bookmarkEnd w:id="0"/>
            </w:tr>
          </w:tbl>
          <w:p w:rsidR="00A04FB3" w:rsidRDefault="00A04FB3" w:rsidP="009463FF">
            <w:pPr>
              <w:pStyle w:val="BlockText"/>
              <w:ind w:left="0" w:right="-79"/>
              <w:rPr>
                <w:rFonts w:ascii="Calibri" w:hAnsi="Calibri"/>
              </w:rPr>
            </w:pPr>
          </w:p>
          <w:p w:rsidR="008626AE" w:rsidRDefault="008626AE" w:rsidP="009463FF">
            <w:pPr>
              <w:pStyle w:val="BlockText"/>
              <w:ind w:left="0" w:right="-79"/>
              <w:rPr>
                <w:rFonts w:ascii="Calibri" w:hAnsi="Calibri"/>
                <w:b/>
              </w:rPr>
            </w:pPr>
            <w:r w:rsidRPr="008626AE">
              <w:rPr>
                <w:rFonts w:ascii="Calibri" w:hAnsi="Calibri"/>
                <w:b/>
              </w:rPr>
              <w:lastRenderedPageBreak/>
              <w:t>Monitoring</w:t>
            </w:r>
          </w:p>
          <w:p w:rsidR="00D23327" w:rsidRDefault="00D23327" w:rsidP="009463FF">
            <w:pPr>
              <w:pStyle w:val="BlockText"/>
              <w:ind w:left="0" w:right="-79"/>
              <w:rPr>
                <w:rFonts w:ascii="Calibri" w:hAnsi="Calibri"/>
                <w:b/>
              </w:rPr>
            </w:pPr>
          </w:p>
          <w:p w:rsidR="008626AE" w:rsidRPr="008626AE" w:rsidRDefault="008626AE" w:rsidP="009463FF">
            <w:pPr>
              <w:pStyle w:val="BlockText"/>
              <w:ind w:left="0" w:right="-7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If starting </w:t>
            </w:r>
            <w:r w:rsidR="00DD7989">
              <w:rPr>
                <w:rFonts w:ascii="Calibri" w:hAnsi="Calibri"/>
              </w:rPr>
              <w:t xml:space="preserve">serum </w:t>
            </w:r>
            <w:r>
              <w:rPr>
                <w:rFonts w:ascii="Calibri" w:hAnsi="Calibri"/>
              </w:rPr>
              <w:t xml:space="preserve">potassium </w:t>
            </w:r>
            <w:r w:rsidRPr="008626AE">
              <w:rPr>
                <w:rFonts w:ascii="Calibri" w:hAnsi="Calibri" w:cs="Calibri"/>
              </w:rPr>
              <w:t>≤4.8mmols/L</w:t>
            </w:r>
            <w:r>
              <w:rPr>
                <w:rFonts w:ascii="Calibri" w:hAnsi="Calibri" w:cs="Calibri"/>
              </w:rPr>
              <w:t xml:space="preserve"> check serum potassium and eGFR </w:t>
            </w:r>
            <w:r w:rsidRPr="00D42A21">
              <w:rPr>
                <w:rFonts w:ascii="Calibri" w:hAnsi="Calibri"/>
                <w:b/>
              </w:rPr>
              <w:t>FOUR</w:t>
            </w:r>
            <w:r>
              <w:rPr>
                <w:rFonts w:ascii="Calibri" w:hAnsi="Calibri"/>
              </w:rPr>
              <w:t xml:space="preserve"> weeks after initiation. If starting potassium </w:t>
            </w:r>
            <w:r w:rsidRPr="008626AE">
              <w:rPr>
                <w:rFonts w:ascii="Calibri" w:hAnsi="Calibri"/>
              </w:rPr>
              <w:t>&gt;4.8-5.0 mmols/L</w:t>
            </w:r>
            <w:r>
              <w:rPr>
                <w:rFonts w:ascii="Calibri" w:hAnsi="Calibri"/>
              </w:rPr>
              <w:t xml:space="preserve"> do an additional serum potassium and eGFR at </w:t>
            </w:r>
            <w:r>
              <w:rPr>
                <w:rFonts w:ascii="Calibri" w:hAnsi="Calibri"/>
                <w:b/>
              </w:rPr>
              <w:t xml:space="preserve">TWO </w:t>
            </w:r>
            <w:r>
              <w:rPr>
                <w:rFonts w:ascii="Calibri" w:hAnsi="Calibri"/>
              </w:rPr>
              <w:t>weeks</w:t>
            </w:r>
            <w:r w:rsidR="009C2B01">
              <w:rPr>
                <w:rFonts w:ascii="Calibri" w:hAnsi="Calibri"/>
              </w:rPr>
              <w:t xml:space="preserve"> </w:t>
            </w:r>
            <w:r w:rsidR="00DD7989">
              <w:rPr>
                <w:rFonts w:ascii="Calibri" w:hAnsi="Calibri"/>
              </w:rPr>
              <w:t>(</w:t>
            </w:r>
            <w:r w:rsidR="009C2B01">
              <w:rPr>
                <w:rFonts w:ascii="Calibri" w:hAnsi="Calibri"/>
              </w:rPr>
              <w:t xml:space="preserve">then </w:t>
            </w:r>
            <w:r w:rsidR="00DD7989">
              <w:rPr>
                <w:rFonts w:ascii="Calibri" w:hAnsi="Calibri"/>
              </w:rPr>
              <w:t xml:space="preserve">at </w:t>
            </w:r>
            <w:r w:rsidR="009C2B01">
              <w:rPr>
                <w:rFonts w:ascii="Calibri" w:hAnsi="Calibri"/>
                <w:b/>
              </w:rPr>
              <w:t xml:space="preserve">FOUR </w:t>
            </w:r>
            <w:r w:rsidR="009C2B01">
              <w:rPr>
                <w:rFonts w:ascii="Calibri" w:hAnsi="Calibri"/>
              </w:rPr>
              <w:t>weeks</w:t>
            </w:r>
            <w:r w:rsidR="00DD7989">
              <w:rPr>
                <w:rFonts w:ascii="Calibri" w:hAnsi="Calibri"/>
              </w:rPr>
              <w:t>)</w:t>
            </w:r>
            <w:r>
              <w:rPr>
                <w:rFonts w:ascii="Calibri" w:hAnsi="Calibri"/>
              </w:rPr>
              <w:t xml:space="preserve">. </w:t>
            </w:r>
          </w:p>
          <w:p w:rsidR="007B3AAA" w:rsidRDefault="007B3AAA" w:rsidP="009463FF">
            <w:pPr>
              <w:pStyle w:val="BlockText"/>
              <w:ind w:left="0" w:right="-79"/>
              <w:rPr>
                <w:rFonts w:ascii="Calibri" w:hAnsi="Calibri"/>
              </w:rPr>
            </w:pPr>
          </w:p>
          <w:p w:rsidR="00D42A21" w:rsidRPr="008626AE" w:rsidRDefault="00D42A21" w:rsidP="00D42A21">
            <w:pPr>
              <w:pStyle w:val="BlockText"/>
              <w:ind w:left="0" w:right="-79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iCs/>
              </w:rPr>
              <w:t>Continuation</w:t>
            </w:r>
            <w:r w:rsidR="008626AE">
              <w:rPr>
                <w:rFonts w:ascii="Calibri" w:hAnsi="Calibri"/>
                <w:b/>
                <w:iCs/>
              </w:rPr>
              <w:t xml:space="preserve"> (after four weeks)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1706"/>
              <w:gridCol w:w="1707"/>
              <w:gridCol w:w="1707"/>
              <w:gridCol w:w="1707"/>
            </w:tblGrid>
            <w:tr w:rsidR="00D42A21" w:rsidTr="00D42A21">
              <w:tc>
                <w:tcPr>
                  <w:tcW w:w="1706" w:type="dxa"/>
                </w:tcPr>
                <w:p w:rsidR="00D42A21" w:rsidRDefault="00D42A21" w:rsidP="00D42A21">
                  <w:pPr>
                    <w:pStyle w:val="BlockText"/>
                    <w:ind w:left="0" w:right="-79"/>
                    <w:rPr>
                      <w:rFonts w:ascii="Calibri" w:hAnsi="Calibri"/>
                    </w:rPr>
                  </w:pPr>
                </w:p>
              </w:tc>
              <w:tc>
                <w:tcPr>
                  <w:tcW w:w="1707" w:type="dxa"/>
                </w:tcPr>
                <w:p w:rsidR="00D42A21" w:rsidRDefault="00D42A21" w:rsidP="00D42A21">
                  <w:pPr>
                    <w:pStyle w:val="BlockText"/>
                    <w:ind w:left="0" w:right="-79"/>
                    <w:rPr>
                      <w:rFonts w:ascii="Calibri" w:hAnsi="Calibri"/>
                    </w:rPr>
                  </w:pPr>
                </w:p>
              </w:tc>
              <w:tc>
                <w:tcPr>
                  <w:tcW w:w="1707" w:type="dxa"/>
                </w:tcPr>
                <w:p w:rsidR="00D42A21" w:rsidRPr="00A17727" w:rsidRDefault="00D42A21" w:rsidP="00A17727">
                  <w:pPr>
                    <w:pStyle w:val="BlockText"/>
                    <w:ind w:left="0" w:right="-79"/>
                    <w:jc w:val="left"/>
                    <w:rPr>
                      <w:rFonts w:ascii="Calibri" w:hAnsi="Calibri"/>
                      <w:b/>
                    </w:rPr>
                  </w:pPr>
                  <w:r w:rsidRPr="00A17727">
                    <w:rPr>
                      <w:rFonts w:ascii="Calibri" w:hAnsi="Calibri"/>
                      <w:b/>
                    </w:rPr>
                    <w:t>On 10mg initiation dose</w:t>
                  </w:r>
                </w:p>
              </w:tc>
              <w:tc>
                <w:tcPr>
                  <w:tcW w:w="1707" w:type="dxa"/>
                </w:tcPr>
                <w:p w:rsidR="00D42A21" w:rsidRPr="00A17727" w:rsidRDefault="00D42A21" w:rsidP="00A17727">
                  <w:pPr>
                    <w:pStyle w:val="BlockText"/>
                    <w:ind w:left="0" w:right="-79"/>
                    <w:jc w:val="left"/>
                    <w:rPr>
                      <w:rFonts w:ascii="Calibri" w:hAnsi="Calibri"/>
                      <w:b/>
                    </w:rPr>
                  </w:pPr>
                  <w:r w:rsidRPr="00A17727">
                    <w:rPr>
                      <w:rFonts w:ascii="Calibri" w:hAnsi="Calibri"/>
                      <w:b/>
                    </w:rPr>
                    <w:t>On 20mg initiation dose</w:t>
                  </w:r>
                </w:p>
              </w:tc>
            </w:tr>
            <w:tr w:rsidR="00D42A21" w:rsidTr="00D42A21">
              <w:tc>
                <w:tcPr>
                  <w:tcW w:w="1706" w:type="dxa"/>
                  <w:vMerge w:val="restart"/>
                </w:tcPr>
                <w:p w:rsidR="00D42A21" w:rsidRPr="00A17727" w:rsidRDefault="00D42A21" w:rsidP="00D42A21">
                  <w:pPr>
                    <w:pStyle w:val="BlockText"/>
                    <w:ind w:left="0" w:right="-79"/>
                    <w:rPr>
                      <w:rFonts w:ascii="Calibri" w:hAnsi="Calibri"/>
                      <w:b/>
                    </w:rPr>
                  </w:pPr>
                  <w:r w:rsidRPr="00A17727">
                    <w:rPr>
                      <w:rFonts w:ascii="Calibri" w:hAnsi="Calibri"/>
                      <w:b/>
                    </w:rPr>
                    <w:t>Serum potassium (mmol/L)</w:t>
                  </w:r>
                </w:p>
              </w:tc>
              <w:tc>
                <w:tcPr>
                  <w:tcW w:w="1707" w:type="dxa"/>
                </w:tcPr>
                <w:p w:rsidR="00D42A21" w:rsidRDefault="00D42A21" w:rsidP="00D42A21">
                  <w:pPr>
                    <w:pStyle w:val="BlockText"/>
                    <w:ind w:left="0" w:right="-79"/>
                    <w:rPr>
                      <w:rFonts w:ascii="Calibri" w:hAnsi="Calibri"/>
                    </w:rPr>
                  </w:pPr>
                  <w:r>
                    <w:rPr>
                      <w:rFonts w:ascii="Calibri" w:hAnsi="Calibri" w:cs="Calibri"/>
                    </w:rPr>
                    <w:t>≤4.8</w:t>
                  </w:r>
                </w:p>
              </w:tc>
              <w:tc>
                <w:tcPr>
                  <w:tcW w:w="1707" w:type="dxa"/>
                </w:tcPr>
                <w:p w:rsidR="00D42A21" w:rsidRDefault="00D42A21" w:rsidP="00A17727">
                  <w:pPr>
                    <w:pStyle w:val="BlockText"/>
                    <w:ind w:left="0" w:right="-79"/>
                    <w:jc w:val="lef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Increase to 20mg</w:t>
                  </w:r>
                  <w:r w:rsidR="00781D75">
                    <w:rPr>
                      <w:rFonts w:ascii="Calibri" w:hAnsi="Calibri"/>
                    </w:rPr>
                    <w:t xml:space="preserve"> once</w:t>
                  </w:r>
                  <w:r>
                    <w:rPr>
                      <w:rFonts w:ascii="Calibri" w:hAnsi="Calibri"/>
                    </w:rPr>
                    <w:t xml:space="preserve"> daily</w:t>
                  </w:r>
                </w:p>
              </w:tc>
              <w:tc>
                <w:tcPr>
                  <w:tcW w:w="1707" w:type="dxa"/>
                </w:tcPr>
                <w:p w:rsidR="00D42A21" w:rsidRDefault="00D42A21" w:rsidP="00A17727">
                  <w:pPr>
                    <w:pStyle w:val="BlockText"/>
                    <w:ind w:left="0" w:right="-79"/>
                    <w:jc w:val="lef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 xml:space="preserve">Maintain 20mg </w:t>
                  </w:r>
                  <w:r w:rsidR="00781D75">
                    <w:rPr>
                      <w:rFonts w:ascii="Calibri" w:hAnsi="Calibri"/>
                    </w:rPr>
                    <w:t xml:space="preserve">once </w:t>
                  </w:r>
                  <w:r>
                    <w:rPr>
                      <w:rFonts w:ascii="Calibri" w:hAnsi="Calibri"/>
                    </w:rPr>
                    <w:t>daily</w:t>
                  </w:r>
                </w:p>
              </w:tc>
            </w:tr>
            <w:tr w:rsidR="00D42A21" w:rsidTr="00D42A21">
              <w:tc>
                <w:tcPr>
                  <w:tcW w:w="1706" w:type="dxa"/>
                  <w:vMerge/>
                </w:tcPr>
                <w:p w:rsidR="00D42A21" w:rsidRDefault="00D42A21" w:rsidP="00D42A21">
                  <w:pPr>
                    <w:pStyle w:val="BlockText"/>
                    <w:ind w:left="0" w:right="-79"/>
                    <w:rPr>
                      <w:rFonts w:ascii="Calibri" w:hAnsi="Calibri"/>
                    </w:rPr>
                  </w:pPr>
                </w:p>
              </w:tc>
              <w:tc>
                <w:tcPr>
                  <w:tcW w:w="1707" w:type="dxa"/>
                </w:tcPr>
                <w:p w:rsidR="00D42A21" w:rsidRDefault="00D42A21" w:rsidP="00D42A21">
                  <w:pPr>
                    <w:pStyle w:val="BlockText"/>
                    <w:ind w:left="0" w:right="-79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&gt;4.8-5.5</w:t>
                  </w:r>
                </w:p>
              </w:tc>
              <w:tc>
                <w:tcPr>
                  <w:tcW w:w="1707" w:type="dxa"/>
                </w:tcPr>
                <w:p w:rsidR="00D42A21" w:rsidRDefault="00781D75" w:rsidP="00A17727">
                  <w:pPr>
                    <w:pStyle w:val="BlockText"/>
                    <w:ind w:left="0" w:right="-79"/>
                    <w:jc w:val="lef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Maintain 10mg once daily</w:t>
                  </w:r>
                </w:p>
              </w:tc>
              <w:tc>
                <w:tcPr>
                  <w:tcW w:w="1707" w:type="dxa"/>
                </w:tcPr>
                <w:p w:rsidR="00D42A21" w:rsidRDefault="00781D75" w:rsidP="00A17727">
                  <w:pPr>
                    <w:pStyle w:val="BlockText"/>
                    <w:ind w:left="0" w:right="-79"/>
                    <w:jc w:val="lef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Maintain 20mg once daily</w:t>
                  </w:r>
                </w:p>
              </w:tc>
            </w:tr>
            <w:tr w:rsidR="00D42A21" w:rsidTr="00D42A21">
              <w:tc>
                <w:tcPr>
                  <w:tcW w:w="1706" w:type="dxa"/>
                  <w:vMerge/>
                </w:tcPr>
                <w:p w:rsidR="00D42A21" w:rsidRDefault="00D42A21" w:rsidP="00D42A21">
                  <w:pPr>
                    <w:pStyle w:val="BlockText"/>
                    <w:ind w:left="0" w:right="-79"/>
                    <w:rPr>
                      <w:rFonts w:ascii="Calibri" w:hAnsi="Calibri"/>
                    </w:rPr>
                  </w:pPr>
                </w:p>
              </w:tc>
              <w:tc>
                <w:tcPr>
                  <w:tcW w:w="1707" w:type="dxa"/>
                </w:tcPr>
                <w:p w:rsidR="00D42A21" w:rsidRDefault="00D42A21" w:rsidP="00D42A21">
                  <w:pPr>
                    <w:pStyle w:val="BlockText"/>
                    <w:ind w:left="0" w:right="-79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&gt;5.5</w:t>
                  </w:r>
                </w:p>
              </w:tc>
              <w:tc>
                <w:tcPr>
                  <w:tcW w:w="1707" w:type="dxa"/>
                </w:tcPr>
                <w:p w:rsidR="00D42A21" w:rsidRDefault="00781D75" w:rsidP="00A17727">
                  <w:pPr>
                    <w:pStyle w:val="BlockText"/>
                    <w:ind w:left="0" w:right="-79"/>
                    <w:jc w:val="lef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Withhold finerenone*</w:t>
                  </w:r>
                </w:p>
              </w:tc>
              <w:tc>
                <w:tcPr>
                  <w:tcW w:w="1707" w:type="dxa"/>
                </w:tcPr>
                <w:p w:rsidR="00D42A21" w:rsidRDefault="00781D75" w:rsidP="00A17727">
                  <w:pPr>
                    <w:pStyle w:val="BlockText"/>
                    <w:ind w:left="0" w:right="-79"/>
                    <w:jc w:val="lef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Withhold finerenone*</w:t>
                  </w:r>
                </w:p>
              </w:tc>
            </w:tr>
          </w:tbl>
          <w:p w:rsidR="00D42A21" w:rsidRDefault="00781D75" w:rsidP="00D42A21">
            <w:pPr>
              <w:pStyle w:val="BlockText"/>
              <w:ind w:left="0" w:right="-79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*Consider restarting at 10mg once daily when serum potassium </w:t>
            </w:r>
            <w:r>
              <w:rPr>
                <w:rFonts w:ascii="Calibri" w:hAnsi="Calibri" w:cs="Calibri"/>
              </w:rPr>
              <w:t>≤5.0mmol/L</w:t>
            </w:r>
          </w:p>
          <w:p w:rsidR="00153326" w:rsidRDefault="00153326" w:rsidP="00D42A21">
            <w:pPr>
              <w:pStyle w:val="BlockText"/>
              <w:ind w:left="0" w:right="-79"/>
              <w:rPr>
                <w:rFonts w:ascii="Calibri" w:hAnsi="Calibri" w:cs="Calibri"/>
              </w:rPr>
            </w:pPr>
          </w:p>
          <w:p w:rsidR="00153326" w:rsidRDefault="00153326" w:rsidP="00D42A21">
            <w:pPr>
              <w:pStyle w:val="BlockText"/>
              <w:ind w:left="0" w:right="-7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NB: If eGFR has decreased by &gt;30% from baseline then maintain dose at 10mg daily </w:t>
            </w:r>
          </w:p>
          <w:p w:rsidR="00781D75" w:rsidRDefault="00781D75" w:rsidP="00D42A21">
            <w:pPr>
              <w:pStyle w:val="BlockText"/>
              <w:ind w:left="0" w:right="-79"/>
              <w:rPr>
                <w:rFonts w:ascii="Calibri" w:hAnsi="Calibri" w:cs="Calibri"/>
              </w:rPr>
            </w:pPr>
          </w:p>
          <w:p w:rsidR="00EA2DF9" w:rsidRDefault="00EA2DF9" w:rsidP="00D42A21">
            <w:pPr>
              <w:pStyle w:val="BlockText"/>
              <w:ind w:left="0" w:right="-7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Recheck serum potassium and eGFR </w:t>
            </w:r>
            <w:r w:rsidRPr="007B3AAA">
              <w:rPr>
                <w:rFonts w:ascii="Calibri" w:hAnsi="Calibri" w:cs="Calibri"/>
                <w:b/>
              </w:rPr>
              <w:t>FOUR</w:t>
            </w:r>
            <w:r>
              <w:rPr>
                <w:rFonts w:ascii="Calibri" w:hAnsi="Calibri" w:cs="Calibri"/>
              </w:rPr>
              <w:t xml:space="preserve"> weeks after any changes in dose. </w:t>
            </w:r>
            <w:r w:rsidR="007B3AAA">
              <w:rPr>
                <w:rFonts w:ascii="Calibri" w:hAnsi="Calibri" w:cs="Calibri"/>
              </w:rPr>
              <w:t xml:space="preserve">Thereafter check serum potassium and eGFR at periodic intervals as needed based on patient characteristics and serum potassium levels. </w:t>
            </w:r>
          </w:p>
          <w:p w:rsidR="007B3AAA" w:rsidRDefault="007B3AAA" w:rsidP="00D42A21">
            <w:pPr>
              <w:pStyle w:val="BlockText"/>
              <w:ind w:left="0" w:right="-79"/>
              <w:rPr>
                <w:rFonts w:ascii="Calibri" w:hAnsi="Calibri" w:cs="Calibri"/>
              </w:rPr>
            </w:pPr>
          </w:p>
          <w:p w:rsidR="00781D75" w:rsidRDefault="00781D75" w:rsidP="00D42A21">
            <w:pPr>
              <w:pStyle w:val="BlockText"/>
              <w:ind w:left="0" w:right="-7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maximum dose is 20mg once daily.</w:t>
            </w:r>
          </w:p>
          <w:p w:rsidR="0089263E" w:rsidRDefault="0089263E" w:rsidP="00D42A21">
            <w:pPr>
              <w:pStyle w:val="BlockText"/>
              <w:ind w:left="0" w:right="-79"/>
              <w:rPr>
                <w:rFonts w:ascii="Calibri" w:hAnsi="Calibri" w:cs="Calibri"/>
              </w:rPr>
            </w:pPr>
          </w:p>
          <w:p w:rsidR="0089263E" w:rsidRDefault="0089263E" w:rsidP="00D42A21">
            <w:pPr>
              <w:pStyle w:val="BlockText"/>
              <w:ind w:left="0" w:right="-79"/>
              <w:rPr>
                <w:rFonts w:ascii="Calibri" w:hAnsi="Calibri" w:cs="Calibri"/>
                <w:b/>
              </w:rPr>
            </w:pPr>
            <w:r w:rsidRPr="0089263E">
              <w:rPr>
                <w:rFonts w:ascii="Calibri" w:hAnsi="Calibri" w:cs="Calibri"/>
                <w:b/>
              </w:rPr>
              <w:t>Stopping</w:t>
            </w:r>
          </w:p>
          <w:p w:rsidR="0089263E" w:rsidRPr="0089263E" w:rsidRDefault="0089263E" w:rsidP="00D42A21">
            <w:pPr>
              <w:pStyle w:val="BlockText"/>
              <w:ind w:left="0" w:right="-79"/>
              <w:rPr>
                <w:rFonts w:ascii="Calibri" w:hAnsi="Calibri" w:cs="Calibri"/>
              </w:rPr>
            </w:pPr>
            <w:r w:rsidRPr="0089263E">
              <w:rPr>
                <w:rFonts w:ascii="Calibri" w:hAnsi="Calibri" w:cs="Calibri"/>
              </w:rPr>
              <w:t>Finerenone should be discontinued in patients when eGFR ≤15ml/min</w:t>
            </w:r>
            <w:r>
              <w:rPr>
                <w:rFonts w:ascii="Calibri" w:hAnsi="Calibri" w:cs="Calibri"/>
              </w:rPr>
              <w:t>.</w:t>
            </w:r>
          </w:p>
          <w:p w:rsidR="00D42A21" w:rsidRPr="00823D6C" w:rsidRDefault="00D42A21" w:rsidP="00D42A21">
            <w:pPr>
              <w:pStyle w:val="BlockText"/>
              <w:ind w:left="0" w:right="-79"/>
              <w:rPr>
                <w:rFonts w:ascii="Calibri" w:hAnsi="Calibri"/>
              </w:rPr>
            </w:pPr>
          </w:p>
        </w:tc>
      </w:tr>
      <w:tr w:rsidR="00BC42D0" w:rsidRPr="00E12BDD" w:rsidTr="00D23327">
        <w:tc>
          <w:tcPr>
            <w:tcW w:w="1702" w:type="dxa"/>
          </w:tcPr>
          <w:p w:rsidR="00BC42D0" w:rsidRDefault="00041A50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lastRenderedPageBreak/>
              <w:t>Cautions/</w:t>
            </w:r>
            <w:r w:rsidR="00D7277C">
              <w:rPr>
                <w:rFonts w:ascii="Calibri" w:hAnsi="Calibri" w:cs="Arial"/>
                <w:b/>
              </w:rPr>
              <w:t>Side Effects</w:t>
            </w:r>
          </w:p>
        </w:tc>
        <w:tc>
          <w:tcPr>
            <w:tcW w:w="9355" w:type="dxa"/>
          </w:tcPr>
          <w:p w:rsidR="00091619" w:rsidRPr="007F1988" w:rsidRDefault="00FA6BCF" w:rsidP="0089263E">
            <w:pPr>
              <w:pStyle w:val="BlockText"/>
              <w:ind w:left="0" w:right="-79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Please see </w:t>
            </w:r>
            <w:r w:rsidR="00AE7758">
              <w:rPr>
                <w:rFonts w:ascii="Calibri" w:hAnsi="Calibri" w:cs="Arial"/>
              </w:rPr>
              <w:t xml:space="preserve">summary of product characteristics at </w:t>
            </w:r>
            <w:hyperlink r:id="rId8" w:history="1">
              <w:r w:rsidR="00041A50" w:rsidRPr="00840554">
                <w:rPr>
                  <w:rStyle w:val="Hyperlink"/>
                  <w:rFonts w:ascii="Calibri" w:hAnsi="Calibri" w:cs="Arial"/>
                </w:rPr>
                <w:t>www.medicines.org.uk</w:t>
              </w:r>
            </w:hyperlink>
            <w:r w:rsidR="00041A50">
              <w:rPr>
                <w:rFonts w:ascii="Calibri" w:hAnsi="Calibri" w:cs="Arial"/>
              </w:rPr>
              <w:t xml:space="preserve"> </w:t>
            </w:r>
          </w:p>
        </w:tc>
      </w:tr>
      <w:tr w:rsidR="009E30D2" w:rsidRPr="008D568E" w:rsidTr="00D2332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0D2" w:rsidRPr="00823D6C" w:rsidRDefault="004427A4" w:rsidP="009E30D2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Patient Counselling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A4" w:rsidRPr="00757560" w:rsidRDefault="00FA6BCF" w:rsidP="005A6B3E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Avoid grapefruit juice</w:t>
            </w:r>
            <w:r w:rsidR="005A6B3E">
              <w:rPr>
                <w:rFonts w:ascii="Calibri" w:hAnsi="Calibri" w:cs="Arial"/>
              </w:rPr>
              <w:t xml:space="preserve">. Give </w:t>
            </w:r>
            <w:r w:rsidR="00AE7758">
              <w:rPr>
                <w:rFonts w:ascii="Calibri" w:hAnsi="Calibri" w:cs="Arial"/>
              </w:rPr>
              <w:t xml:space="preserve">potassium </w:t>
            </w:r>
            <w:r w:rsidR="005A6B3E">
              <w:rPr>
                <w:rFonts w:ascii="Calibri" w:hAnsi="Calibri" w:cs="Arial"/>
              </w:rPr>
              <w:t xml:space="preserve">and </w:t>
            </w:r>
            <w:r w:rsidR="00AE7758">
              <w:rPr>
                <w:rFonts w:ascii="Calibri" w:hAnsi="Calibri" w:cs="Arial"/>
              </w:rPr>
              <w:t>sick day rules</w:t>
            </w:r>
            <w:r w:rsidR="005A6B3E">
              <w:rPr>
                <w:rFonts w:ascii="Calibri" w:hAnsi="Calibri" w:cs="Arial"/>
              </w:rPr>
              <w:t xml:space="preserve"> advice- full information i</w:t>
            </w:r>
            <w:r w:rsidR="00AE7758">
              <w:rPr>
                <w:rFonts w:ascii="Calibri" w:hAnsi="Calibri" w:cs="Arial"/>
              </w:rPr>
              <w:t xml:space="preserve">n Patient information leaflet at </w:t>
            </w:r>
            <w:hyperlink r:id="rId9" w:history="1">
              <w:r w:rsidR="00AE7758" w:rsidRPr="00D45F7B">
                <w:rPr>
                  <w:rStyle w:val="Hyperlink"/>
                  <w:rFonts w:ascii="Calibri" w:hAnsi="Calibri" w:cs="Arial"/>
                </w:rPr>
                <w:t>www.medicines.org.uk</w:t>
              </w:r>
            </w:hyperlink>
            <w:r w:rsidR="00AE7758">
              <w:rPr>
                <w:rFonts w:ascii="Calibri" w:hAnsi="Calibri" w:cs="Arial"/>
              </w:rPr>
              <w:t xml:space="preserve"> </w:t>
            </w:r>
          </w:p>
        </w:tc>
      </w:tr>
      <w:tr w:rsidR="00082BBD" w:rsidRPr="008D568E" w:rsidTr="00D2332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BD" w:rsidRPr="00082BBD" w:rsidRDefault="004427A4" w:rsidP="009E30D2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Drug Interactions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BD" w:rsidRDefault="00EA2DF9" w:rsidP="0089263E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Moderate and weak CYP3A4 inhibitors, potassium supplements,</w:t>
            </w:r>
            <w:r w:rsidR="00FA6BCF">
              <w:rPr>
                <w:rFonts w:ascii="Calibri" w:hAnsi="Calibri" w:cs="Arial"/>
              </w:rPr>
              <w:t xml:space="preserve"> potassium sparing diuretics,</w:t>
            </w:r>
            <w:r>
              <w:rPr>
                <w:rFonts w:ascii="Calibri" w:hAnsi="Calibri" w:cs="Arial"/>
              </w:rPr>
              <w:t xml:space="preserve"> trimethoprim or co-trimoxazole: additional serum potassium monitoring should be considered or tem</w:t>
            </w:r>
            <w:r w:rsidR="00A17727">
              <w:rPr>
                <w:rFonts w:ascii="Calibri" w:hAnsi="Calibri" w:cs="Arial"/>
              </w:rPr>
              <w:t>porary discontinuation of finere</w:t>
            </w:r>
            <w:r>
              <w:rPr>
                <w:rFonts w:ascii="Calibri" w:hAnsi="Calibri" w:cs="Arial"/>
              </w:rPr>
              <w:t>none.</w:t>
            </w:r>
          </w:p>
          <w:p w:rsidR="00EA2DF9" w:rsidRDefault="00EA2DF9" w:rsidP="0089263E">
            <w:pPr>
              <w:jc w:val="both"/>
              <w:rPr>
                <w:rFonts w:ascii="Calibri" w:hAnsi="Calibri" w:cs="Arial"/>
              </w:rPr>
            </w:pPr>
          </w:p>
          <w:p w:rsidR="00EA2DF9" w:rsidRDefault="00FA6BCF" w:rsidP="00FA6BCF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Concomitant administration with g</w:t>
            </w:r>
            <w:r w:rsidR="00EA2DF9">
              <w:rPr>
                <w:rFonts w:ascii="Calibri" w:hAnsi="Calibri" w:cs="Arial"/>
              </w:rPr>
              <w:t>rapefruit juice and strong inhibitors of CYP3A4 (e.g. itraconazole, ketoconazole, ritonavir, nelfinavir, clarithromycin)</w:t>
            </w:r>
            <w:r>
              <w:rPr>
                <w:rFonts w:ascii="Calibri" w:hAnsi="Calibri" w:cs="Arial"/>
              </w:rPr>
              <w:t xml:space="preserve"> is contraindicated</w:t>
            </w:r>
          </w:p>
          <w:p w:rsidR="00FA6BCF" w:rsidRDefault="00FA6BCF" w:rsidP="00FA6BCF">
            <w:pPr>
              <w:jc w:val="both"/>
              <w:rPr>
                <w:rFonts w:ascii="Calibri" w:hAnsi="Calibri" w:cs="Arial"/>
              </w:rPr>
            </w:pPr>
          </w:p>
          <w:p w:rsidR="00FA6BCF" w:rsidRPr="0089263E" w:rsidRDefault="00FA6BCF" w:rsidP="00FA6BCF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Concomitant administration with strong and moderate CYP3A4 inducers (e.g. carbamazepine, phenytoin, phenobarbital, St John’s Wort) is not recommended as they markedly decrease finerenone plasma concentration.</w:t>
            </w:r>
          </w:p>
        </w:tc>
      </w:tr>
    </w:tbl>
    <w:p w:rsidR="005F044B" w:rsidRPr="007B3AAA" w:rsidRDefault="007B3AAA">
      <w:pPr>
        <w:rPr>
          <w:rFonts w:ascii="Calibri" w:hAnsi="Calibri" w:cs="Arial"/>
        </w:rPr>
      </w:pPr>
      <w:r w:rsidRPr="007B3AAA">
        <w:rPr>
          <w:rFonts w:ascii="Calibri" w:hAnsi="Calibri" w:cs="Arial"/>
        </w:rPr>
        <w:t xml:space="preserve">Please see full summary of product characteristics at: </w:t>
      </w:r>
      <w:hyperlink r:id="rId10" w:history="1">
        <w:r w:rsidR="00153326" w:rsidRPr="00840554">
          <w:rPr>
            <w:rStyle w:val="Hyperlink"/>
            <w:rFonts w:ascii="Calibri" w:hAnsi="Calibri" w:cs="Arial"/>
          </w:rPr>
          <w:t>www.medicines.org.uk</w:t>
        </w:r>
      </w:hyperlink>
      <w:r w:rsidR="00153326">
        <w:rPr>
          <w:rFonts w:ascii="Calibri" w:hAnsi="Calibri" w:cs="Arial"/>
        </w:rPr>
        <w:t xml:space="preserve"> </w:t>
      </w:r>
    </w:p>
    <w:sectPr w:rsidR="005F044B" w:rsidRPr="007B3AAA" w:rsidSect="00462756">
      <w:headerReference w:type="default" r:id="rId11"/>
      <w:foot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50EC" w:rsidRDefault="006150EC">
      <w:r>
        <w:separator/>
      </w:r>
    </w:p>
  </w:endnote>
  <w:endnote w:type="continuationSeparator" w:id="0">
    <w:p w:rsidR="006150EC" w:rsidRDefault="006150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B19" w:rsidRDefault="00265B19" w:rsidP="00F80228">
    <w:pPr>
      <w:pStyle w:val="Footer"/>
      <w:jc w:val="right"/>
      <w:rPr>
        <w:rFonts w:ascii="Calibri" w:hAnsi="Calibri"/>
        <w:i/>
        <w:sz w:val="20"/>
        <w:szCs w:val="20"/>
      </w:rPr>
    </w:pPr>
    <w:r>
      <w:rPr>
        <w:rFonts w:ascii="Calibri" w:hAnsi="Calibri"/>
        <w:i/>
        <w:sz w:val="20"/>
        <w:szCs w:val="20"/>
      </w:rPr>
      <w:t>W</w:t>
    </w:r>
    <w:r w:rsidR="0098553F">
      <w:rPr>
        <w:rFonts w:ascii="Calibri" w:hAnsi="Calibri"/>
        <w:i/>
        <w:sz w:val="20"/>
        <w:szCs w:val="20"/>
      </w:rPr>
      <w:t xml:space="preserve">ritten by: </w:t>
    </w:r>
    <w:r w:rsidR="007B3AAA">
      <w:rPr>
        <w:rFonts w:ascii="Calibri" w:hAnsi="Calibri"/>
        <w:i/>
        <w:sz w:val="20"/>
        <w:szCs w:val="20"/>
      </w:rPr>
      <w:t>Sarah MacInnes, Renal Pharmacist</w:t>
    </w:r>
  </w:p>
  <w:p w:rsidR="007B3AAA" w:rsidRDefault="00265B19" w:rsidP="00F80228">
    <w:pPr>
      <w:pStyle w:val="Footer"/>
      <w:jc w:val="right"/>
      <w:rPr>
        <w:rFonts w:ascii="Calibri" w:hAnsi="Calibri"/>
        <w:i/>
        <w:sz w:val="20"/>
        <w:szCs w:val="20"/>
      </w:rPr>
    </w:pPr>
    <w:r w:rsidRPr="00F80228">
      <w:rPr>
        <w:rFonts w:ascii="Calibri" w:hAnsi="Calibri"/>
        <w:i/>
        <w:sz w:val="20"/>
        <w:szCs w:val="20"/>
      </w:rPr>
      <w:t>Reviewed by</w:t>
    </w:r>
    <w:r w:rsidR="0098553F">
      <w:rPr>
        <w:rFonts w:ascii="Calibri" w:hAnsi="Calibri"/>
        <w:i/>
        <w:sz w:val="20"/>
        <w:szCs w:val="20"/>
      </w:rPr>
      <w:t xml:space="preserve">: </w:t>
    </w:r>
    <w:r w:rsidR="00BB3607">
      <w:rPr>
        <w:rFonts w:ascii="Calibri" w:hAnsi="Calibri"/>
        <w:i/>
        <w:sz w:val="20"/>
        <w:szCs w:val="20"/>
      </w:rPr>
      <w:t>Iain MacIntyre, Consultant Nephrologist</w:t>
    </w:r>
  </w:p>
  <w:p w:rsidR="00265B19" w:rsidRDefault="0098553F" w:rsidP="00F80228">
    <w:pPr>
      <w:pStyle w:val="Footer"/>
      <w:jc w:val="right"/>
      <w:rPr>
        <w:rFonts w:ascii="Calibri" w:hAnsi="Calibri"/>
        <w:i/>
        <w:sz w:val="20"/>
        <w:szCs w:val="20"/>
      </w:rPr>
    </w:pPr>
    <w:r>
      <w:rPr>
        <w:rFonts w:ascii="Calibri" w:hAnsi="Calibri"/>
        <w:i/>
        <w:sz w:val="20"/>
        <w:szCs w:val="20"/>
      </w:rPr>
      <w:t xml:space="preserve">Date written: </w:t>
    </w:r>
    <w:r w:rsidR="007B3AAA">
      <w:rPr>
        <w:rFonts w:ascii="Calibri" w:hAnsi="Calibri"/>
        <w:i/>
        <w:sz w:val="20"/>
        <w:szCs w:val="20"/>
      </w:rPr>
      <w:t>Nov 2023</w:t>
    </w:r>
  </w:p>
  <w:p w:rsidR="00265B19" w:rsidRDefault="007B3AAA" w:rsidP="00F80228">
    <w:pPr>
      <w:pStyle w:val="Footer"/>
      <w:jc w:val="right"/>
      <w:rPr>
        <w:rFonts w:ascii="Calibri" w:hAnsi="Calibri"/>
        <w:i/>
        <w:sz w:val="20"/>
        <w:szCs w:val="20"/>
      </w:rPr>
    </w:pPr>
    <w:r>
      <w:rPr>
        <w:rFonts w:ascii="Calibri" w:hAnsi="Calibri"/>
        <w:i/>
        <w:sz w:val="20"/>
        <w:szCs w:val="20"/>
      </w:rPr>
      <w:t>Review Date:  Nov 2026</w:t>
    </w:r>
  </w:p>
  <w:p w:rsidR="00265B19" w:rsidRPr="00F80228" w:rsidRDefault="00265B19" w:rsidP="00265B19">
    <w:pPr>
      <w:pStyle w:val="Footer"/>
      <w:jc w:val="right"/>
      <w:rPr>
        <w:rFonts w:ascii="Calibri" w:hAnsi="Calibri"/>
        <w:i/>
        <w:sz w:val="20"/>
        <w:szCs w:val="20"/>
      </w:rPr>
    </w:pPr>
  </w:p>
  <w:p w:rsidR="00265B19" w:rsidRPr="00F80228" w:rsidRDefault="00265B19" w:rsidP="00F80228">
    <w:pPr>
      <w:pStyle w:val="Footer"/>
      <w:jc w:val="right"/>
      <w:rPr>
        <w:rFonts w:ascii="Calibri" w:hAnsi="Calibri"/>
        <w:i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50EC" w:rsidRDefault="006150EC">
      <w:r>
        <w:separator/>
      </w:r>
    </w:p>
  </w:footnote>
  <w:footnote w:type="continuationSeparator" w:id="0">
    <w:p w:rsidR="006150EC" w:rsidRDefault="006150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989" w:rsidRDefault="00DD798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94E12"/>
    <w:multiLevelType w:val="hybridMultilevel"/>
    <w:tmpl w:val="8FB8F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E47A6E"/>
    <w:multiLevelType w:val="hybridMultilevel"/>
    <w:tmpl w:val="3AD66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4B51AA"/>
    <w:multiLevelType w:val="hybridMultilevel"/>
    <w:tmpl w:val="70108C32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CCC7274"/>
    <w:multiLevelType w:val="hybridMultilevel"/>
    <w:tmpl w:val="75C80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8A34B1"/>
    <w:multiLevelType w:val="hybridMultilevel"/>
    <w:tmpl w:val="413E5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AD759E"/>
    <w:multiLevelType w:val="hybridMultilevel"/>
    <w:tmpl w:val="0A84C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3E6E3F"/>
    <w:multiLevelType w:val="hybridMultilevel"/>
    <w:tmpl w:val="5CBAD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35107A"/>
    <w:rsid w:val="000177F0"/>
    <w:rsid w:val="00041A50"/>
    <w:rsid w:val="00082BBD"/>
    <w:rsid w:val="00091619"/>
    <w:rsid w:val="000C15F1"/>
    <w:rsid w:val="000E6548"/>
    <w:rsid w:val="000E6E80"/>
    <w:rsid w:val="0013645C"/>
    <w:rsid w:val="00153326"/>
    <w:rsid w:val="001566FC"/>
    <w:rsid w:val="00160F26"/>
    <w:rsid w:val="00162578"/>
    <w:rsid w:val="00190C0E"/>
    <w:rsid w:val="001A0FE3"/>
    <w:rsid w:val="001B6582"/>
    <w:rsid w:val="001C345B"/>
    <w:rsid w:val="001F184C"/>
    <w:rsid w:val="00202975"/>
    <w:rsid w:val="00265B19"/>
    <w:rsid w:val="00274B27"/>
    <w:rsid w:val="00286AA7"/>
    <w:rsid w:val="00293B7B"/>
    <w:rsid w:val="002A1B2B"/>
    <w:rsid w:val="002D11F6"/>
    <w:rsid w:val="002D460B"/>
    <w:rsid w:val="003407C5"/>
    <w:rsid w:val="00342D85"/>
    <w:rsid w:val="00350B93"/>
    <w:rsid w:val="0035107A"/>
    <w:rsid w:val="00353B63"/>
    <w:rsid w:val="00361683"/>
    <w:rsid w:val="0036517C"/>
    <w:rsid w:val="003733F1"/>
    <w:rsid w:val="003A6E9E"/>
    <w:rsid w:val="003B4A19"/>
    <w:rsid w:val="003E16AD"/>
    <w:rsid w:val="00435BBF"/>
    <w:rsid w:val="004427A4"/>
    <w:rsid w:val="00444CE0"/>
    <w:rsid w:val="00462756"/>
    <w:rsid w:val="00472683"/>
    <w:rsid w:val="004825E2"/>
    <w:rsid w:val="004862E4"/>
    <w:rsid w:val="0048740B"/>
    <w:rsid w:val="004E0A3B"/>
    <w:rsid w:val="004E4022"/>
    <w:rsid w:val="004E6F1D"/>
    <w:rsid w:val="005852F5"/>
    <w:rsid w:val="005A6B3E"/>
    <w:rsid w:val="005B056B"/>
    <w:rsid w:val="005B6146"/>
    <w:rsid w:val="005C698A"/>
    <w:rsid w:val="005F044B"/>
    <w:rsid w:val="006150EC"/>
    <w:rsid w:val="00615CF2"/>
    <w:rsid w:val="0062055E"/>
    <w:rsid w:val="00653258"/>
    <w:rsid w:val="00665703"/>
    <w:rsid w:val="00710221"/>
    <w:rsid w:val="00743E14"/>
    <w:rsid w:val="00753EE1"/>
    <w:rsid w:val="00757560"/>
    <w:rsid w:val="007639D7"/>
    <w:rsid w:val="00781D75"/>
    <w:rsid w:val="007A7E70"/>
    <w:rsid w:val="007B3AAA"/>
    <w:rsid w:val="007E270E"/>
    <w:rsid w:val="007F1988"/>
    <w:rsid w:val="008067C9"/>
    <w:rsid w:val="008145BE"/>
    <w:rsid w:val="00823D6C"/>
    <w:rsid w:val="00837406"/>
    <w:rsid w:val="00851040"/>
    <w:rsid w:val="008626AE"/>
    <w:rsid w:val="00870C3D"/>
    <w:rsid w:val="008776DE"/>
    <w:rsid w:val="0089263E"/>
    <w:rsid w:val="008A5BA6"/>
    <w:rsid w:val="008A6538"/>
    <w:rsid w:val="008C2429"/>
    <w:rsid w:val="008C7A93"/>
    <w:rsid w:val="008C7B2E"/>
    <w:rsid w:val="008D568E"/>
    <w:rsid w:val="008E09CB"/>
    <w:rsid w:val="008E3C83"/>
    <w:rsid w:val="008F40E0"/>
    <w:rsid w:val="009007B7"/>
    <w:rsid w:val="009463FF"/>
    <w:rsid w:val="00972E28"/>
    <w:rsid w:val="0098553F"/>
    <w:rsid w:val="009C2B01"/>
    <w:rsid w:val="009E3084"/>
    <w:rsid w:val="009E30D2"/>
    <w:rsid w:val="009F476F"/>
    <w:rsid w:val="00A002A6"/>
    <w:rsid w:val="00A04FB3"/>
    <w:rsid w:val="00A17727"/>
    <w:rsid w:val="00A34F56"/>
    <w:rsid w:val="00A378FB"/>
    <w:rsid w:val="00A4303E"/>
    <w:rsid w:val="00A71505"/>
    <w:rsid w:val="00A85095"/>
    <w:rsid w:val="00A8712D"/>
    <w:rsid w:val="00AE3CD2"/>
    <w:rsid w:val="00AE7758"/>
    <w:rsid w:val="00AE7EB9"/>
    <w:rsid w:val="00B13A0F"/>
    <w:rsid w:val="00B62256"/>
    <w:rsid w:val="00B85BAC"/>
    <w:rsid w:val="00BA2823"/>
    <w:rsid w:val="00BB3607"/>
    <w:rsid w:val="00BC42D0"/>
    <w:rsid w:val="00BF44DD"/>
    <w:rsid w:val="00BF70E6"/>
    <w:rsid w:val="00CA1BC0"/>
    <w:rsid w:val="00CB5503"/>
    <w:rsid w:val="00CD7FAB"/>
    <w:rsid w:val="00CE4E83"/>
    <w:rsid w:val="00D20563"/>
    <w:rsid w:val="00D23327"/>
    <w:rsid w:val="00D42A21"/>
    <w:rsid w:val="00D61F18"/>
    <w:rsid w:val="00D7277C"/>
    <w:rsid w:val="00DD7989"/>
    <w:rsid w:val="00E12BDD"/>
    <w:rsid w:val="00E35485"/>
    <w:rsid w:val="00E5750E"/>
    <w:rsid w:val="00E6232B"/>
    <w:rsid w:val="00EA2DF9"/>
    <w:rsid w:val="00EA5478"/>
    <w:rsid w:val="00EB1224"/>
    <w:rsid w:val="00ED237E"/>
    <w:rsid w:val="00EE45BC"/>
    <w:rsid w:val="00F01B82"/>
    <w:rsid w:val="00F13645"/>
    <w:rsid w:val="00F80228"/>
    <w:rsid w:val="00FA3A96"/>
    <w:rsid w:val="00FA6BCF"/>
    <w:rsid w:val="00FB22F0"/>
    <w:rsid w:val="00FC1702"/>
    <w:rsid w:val="00FC6D89"/>
    <w:rsid w:val="00FE1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756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8022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1DC3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F8022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1DC3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62578"/>
    <w:pPr>
      <w:ind w:left="720"/>
      <w:contextualSpacing/>
    </w:pPr>
  </w:style>
  <w:style w:type="paragraph" w:styleId="BlockText">
    <w:name w:val="Block Text"/>
    <w:basedOn w:val="Normal"/>
    <w:uiPriority w:val="99"/>
    <w:rsid w:val="00E5750E"/>
    <w:pPr>
      <w:tabs>
        <w:tab w:val="left" w:pos="1080"/>
      </w:tabs>
      <w:ind w:left="720" w:right="386"/>
      <w:jc w:val="both"/>
    </w:pPr>
  </w:style>
  <w:style w:type="paragraph" w:styleId="BalloonText">
    <w:name w:val="Balloon Text"/>
    <w:basedOn w:val="Normal"/>
    <w:link w:val="BalloonTextChar"/>
    <w:rsid w:val="00972E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2E28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D42A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A6BCF"/>
    <w:pPr>
      <w:spacing w:before="100" w:beforeAutospacing="1" w:after="100" w:afterAutospacing="1"/>
    </w:pPr>
    <w:rPr>
      <w:lang w:eastAsia="en-GB"/>
    </w:rPr>
  </w:style>
  <w:style w:type="character" w:styleId="Hyperlink">
    <w:name w:val="Hyperlink"/>
    <w:basedOn w:val="DefaultParagraphFont"/>
    <w:unhideWhenUsed/>
    <w:rsid w:val="0015332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2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19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74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2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95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100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730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781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3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icines.org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medicines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dicines.org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2</Pages>
  <Words>517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Vascular Surgery guidelines</vt:lpstr>
    </vt:vector>
  </TitlesOfParts>
  <Company>LUHD</Company>
  <LinksUpToDate>false</LinksUpToDate>
  <CharactersWithSpaces>3890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Vascular Surgery guidelines</dc:title>
  <dc:creator>jinwerne.hah</dc:creator>
  <cp:lastModifiedBy>Robert Hunter</cp:lastModifiedBy>
  <cp:revision>16</cp:revision>
  <cp:lastPrinted>2023-11-02T17:08:00Z</cp:lastPrinted>
  <dcterms:created xsi:type="dcterms:W3CDTF">2023-11-02T17:14:00Z</dcterms:created>
  <dcterms:modified xsi:type="dcterms:W3CDTF">2024-01-26T16:07:00Z</dcterms:modified>
</cp:coreProperties>
</file>