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8"/>
      </w:tblGrid>
      <w:tr w:rsidR="00286AA7" w14:paraId="28ACC02A" w14:textId="77777777" w:rsidTr="002C727B">
        <w:trPr>
          <w:trHeight w:val="1134"/>
        </w:trPr>
        <w:tc>
          <w:tcPr>
            <w:tcW w:w="10058" w:type="dxa"/>
          </w:tcPr>
          <w:p w14:paraId="56D21206" w14:textId="77777777" w:rsidR="00286AA7" w:rsidRDefault="00286AA7" w:rsidP="00286AA7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540A42AD" w14:textId="77777777" w:rsidR="00286AA7" w:rsidRPr="008B6DA5" w:rsidRDefault="008B6DA5" w:rsidP="00286AA7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87C1F54" wp14:editId="2CCAD0F4">
                  <wp:simplePos x="0" y="0"/>
                  <wp:positionH relativeFrom="column">
                    <wp:posOffset>5417820</wp:posOffset>
                  </wp:positionH>
                  <wp:positionV relativeFrom="paragraph">
                    <wp:posOffset>-445770</wp:posOffset>
                  </wp:positionV>
                  <wp:extent cx="876300" cy="68580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287" y="20800"/>
                      <wp:lineTo x="21287" y="0"/>
                      <wp:lineTo x="0" y="0"/>
                    </wp:wrapPolygon>
                  </wp:wrapTight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043" b="8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86AA7"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14:paraId="0654D285" w14:textId="77777777" w:rsidR="00286AA7" w:rsidRPr="008B6DA5" w:rsidRDefault="00AD46C2">
      <w:pPr>
        <w:rPr>
          <w:rFonts w:ascii="Calibri" w:hAnsi="Calibri" w:cs="Arial"/>
          <w:b/>
          <w:sz w:val="32"/>
          <w:szCs w:val="32"/>
        </w:rPr>
      </w:pPr>
      <w:proofErr w:type="spellStart"/>
      <w:r>
        <w:rPr>
          <w:rFonts w:ascii="Calibri" w:hAnsi="Calibri" w:cs="Arial"/>
          <w:b/>
          <w:sz w:val="32"/>
          <w:szCs w:val="32"/>
        </w:rPr>
        <w:t>NeoRec</w:t>
      </w:r>
      <w:r w:rsidR="0063331B">
        <w:rPr>
          <w:rFonts w:ascii="Calibri" w:hAnsi="Calibri" w:cs="Arial"/>
          <w:b/>
          <w:sz w:val="32"/>
          <w:szCs w:val="32"/>
        </w:rPr>
        <w:t>o</w:t>
      </w:r>
      <w:r>
        <w:rPr>
          <w:rFonts w:ascii="Calibri" w:hAnsi="Calibri" w:cs="Arial"/>
          <w:b/>
          <w:sz w:val="32"/>
          <w:szCs w:val="32"/>
        </w:rPr>
        <w:t>rmon</w:t>
      </w:r>
      <w:proofErr w:type="spellEnd"/>
      <w:r w:rsidR="001246FC">
        <w:rPr>
          <w:rFonts w:ascii="Calibri" w:hAnsi="Calibri" w:cs="Arial"/>
          <w:b/>
          <w:sz w:val="32"/>
          <w:szCs w:val="32"/>
        </w:rPr>
        <w:t>®</w:t>
      </w:r>
      <w:r>
        <w:rPr>
          <w:rFonts w:ascii="Calibri" w:hAnsi="Calibri" w:cs="Arial"/>
          <w:b/>
          <w:sz w:val="32"/>
          <w:szCs w:val="32"/>
        </w:rPr>
        <w:t xml:space="preserve"> </w:t>
      </w:r>
      <w:r w:rsidR="00F0248E">
        <w:rPr>
          <w:rFonts w:ascii="Calibri" w:hAnsi="Calibri" w:cs="Arial"/>
          <w:b/>
          <w:sz w:val="32"/>
          <w:szCs w:val="32"/>
        </w:rPr>
        <w:t>(</w:t>
      </w:r>
      <w:r w:rsidR="00171C33" w:rsidRPr="00171C33">
        <w:rPr>
          <w:rFonts w:asciiTheme="minorHAnsi" w:hAnsiTheme="minorHAnsi" w:cstheme="minorHAnsi"/>
          <w:b/>
          <w:color w:val="000000"/>
          <w:sz w:val="32"/>
          <w:szCs w:val="32"/>
        </w:rPr>
        <w:t>epoetin beta</w:t>
      </w:r>
      <w:r w:rsidR="00F0248E">
        <w:rPr>
          <w:rFonts w:ascii="Calibri" w:hAnsi="Calibri" w:cs="Arial"/>
          <w:b/>
          <w:sz w:val="32"/>
          <w:szCs w:val="32"/>
        </w:rPr>
        <w:t xml:space="preserve">) </w:t>
      </w:r>
      <w:r w:rsidR="00266913" w:rsidRPr="008B6DA5">
        <w:rPr>
          <w:rFonts w:ascii="Calibri" w:hAnsi="Calibri" w:cs="Arial"/>
          <w:b/>
          <w:sz w:val="32"/>
          <w:szCs w:val="32"/>
        </w:rPr>
        <w:t xml:space="preserve">in </w:t>
      </w:r>
      <w:r w:rsidR="00B82742" w:rsidRPr="008B6DA5">
        <w:rPr>
          <w:rFonts w:ascii="Calibri" w:hAnsi="Calibri" w:cs="Arial"/>
          <w:b/>
          <w:sz w:val="32"/>
          <w:szCs w:val="32"/>
        </w:rPr>
        <w:t>Haemodialysis</w:t>
      </w:r>
    </w:p>
    <w:p w14:paraId="7F1CE1D3" w14:textId="77777777" w:rsidR="002C727B" w:rsidRPr="002C727B" w:rsidRDefault="002C727B">
      <w:pPr>
        <w:rPr>
          <w:rFonts w:ascii="Calibri" w:hAnsi="Calibri" w:cs="Arial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350B93" w:rsidRPr="00E12BDD" w14:paraId="0FA2A379" w14:textId="77777777" w:rsidTr="0062237E">
        <w:tc>
          <w:tcPr>
            <w:tcW w:w="1809" w:type="dxa"/>
          </w:tcPr>
          <w:p w14:paraId="12104D9F" w14:textId="77777777" w:rsidR="00350B93" w:rsidRPr="008C7B2E" w:rsidRDefault="00350B93">
            <w:pPr>
              <w:rPr>
                <w:rFonts w:ascii="Calibri" w:hAnsi="Calibri" w:cs="Arial"/>
                <w:b/>
              </w:rPr>
            </w:pPr>
            <w:r w:rsidRPr="008C7B2E">
              <w:rPr>
                <w:rFonts w:ascii="Calibri" w:hAnsi="Calibri" w:cs="Arial"/>
                <w:b/>
              </w:rPr>
              <w:t>Indication</w:t>
            </w:r>
          </w:p>
        </w:tc>
        <w:tc>
          <w:tcPr>
            <w:tcW w:w="7938" w:type="dxa"/>
          </w:tcPr>
          <w:p w14:paraId="167E8AE1" w14:textId="77777777" w:rsidR="00DE4C51" w:rsidRPr="00AD46C2" w:rsidRDefault="00171C33" w:rsidP="0063331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Treatment of</w:t>
            </w:r>
            <w:r w:rsidR="0063331B">
              <w:rPr>
                <w:rFonts w:asciiTheme="minorHAnsi" w:hAnsiTheme="minorHAnsi" w:cstheme="minorHAnsi"/>
              </w:rPr>
              <w:t xml:space="preserve"> </w:t>
            </w:r>
            <w:r w:rsidR="00AD46C2" w:rsidRPr="00AD46C2">
              <w:rPr>
                <w:rFonts w:asciiTheme="minorHAnsi" w:hAnsiTheme="minorHAnsi" w:cstheme="minorHAnsi"/>
              </w:rPr>
              <w:t xml:space="preserve">symptomatic anaemia associated with chronic renal failure </w:t>
            </w:r>
          </w:p>
        </w:tc>
      </w:tr>
      <w:tr w:rsidR="00350B93" w:rsidRPr="00E12BDD" w14:paraId="042267DE" w14:textId="77777777" w:rsidTr="0062237E">
        <w:tc>
          <w:tcPr>
            <w:tcW w:w="1809" w:type="dxa"/>
          </w:tcPr>
          <w:p w14:paraId="6D66023D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Dosage and administration</w:t>
            </w:r>
          </w:p>
        </w:tc>
        <w:tc>
          <w:tcPr>
            <w:tcW w:w="7938" w:type="dxa"/>
          </w:tcPr>
          <w:p w14:paraId="7D70E195" w14:textId="77777777" w:rsidR="00310D29" w:rsidRPr="00171C33" w:rsidRDefault="00171C33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Arial"/>
              </w:rPr>
              <w:t>40</w:t>
            </w:r>
            <w:r w:rsidR="00947E30">
              <w:rPr>
                <w:rFonts w:ascii="Calibri" w:hAnsi="Calibri" w:cs="Arial"/>
              </w:rPr>
              <w:t>units</w:t>
            </w:r>
            <w:r w:rsidR="001246FC">
              <w:rPr>
                <w:rFonts w:ascii="Calibri" w:hAnsi="Calibri" w:cs="Arial"/>
              </w:rPr>
              <w:t>/kg i</w:t>
            </w:r>
            <w:r>
              <w:rPr>
                <w:rFonts w:ascii="Calibri" w:hAnsi="Calibri" w:cs="Arial"/>
              </w:rPr>
              <w:t xml:space="preserve">ntravenously three times weekly. </w:t>
            </w:r>
            <w:r w:rsidRPr="00171C33">
              <w:rPr>
                <w:rFonts w:asciiTheme="minorHAnsi" w:hAnsiTheme="minorHAnsi" w:cstheme="minorHAnsi"/>
              </w:rPr>
              <w:t>M</w:t>
            </w:r>
            <w:r w:rsidRPr="00171C33">
              <w:rPr>
                <w:rFonts w:asciiTheme="minorHAnsi" w:hAnsiTheme="minorHAnsi" w:cstheme="minorHAnsi"/>
                <w:color w:val="000000"/>
              </w:rPr>
              <w:t>aximum dose should not exceed 720 units/kg per week</w:t>
            </w:r>
            <w:r w:rsidR="00FF1563">
              <w:rPr>
                <w:rFonts w:asciiTheme="minorHAnsi" w:hAnsiTheme="minorHAnsi" w:cstheme="minorHAnsi"/>
                <w:color w:val="000000"/>
              </w:rPr>
              <w:t xml:space="preserve">, unless prescribed by the responsible Consultant. </w:t>
            </w:r>
          </w:p>
          <w:p w14:paraId="6E8B020B" w14:textId="77777777" w:rsidR="0063331B" w:rsidRDefault="0063331B">
            <w:pPr>
              <w:rPr>
                <w:rFonts w:ascii="Calibri" w:hAnsi="Calibri" w:cs="Arial"/>
              </w:rPr>
            </w:pPr>
          </w:p>
          <w:p w14:paraId="65DA5602" w14:textId="77777777" w:rsidR="00310D29" w:rsidRPr="0063331B" w:rsidRDefault="001246FC">
            <w:pPr>
              <w:rPr>
                <w:rFonts w:asciiTheme="minorHAnsi" w:hAnsiTheme="minorHAnsi" w:cstheme="minorHAnsi"/>
                <w:color w:val="000000"/>
              </w:rPr>
            </w:pPr>
            <w:r w:rsidRPr="0063331B">
              <w:rPr>
                <w:rFonts w:asciiTheme="minorHAnsi" w:hAnsiTheme="minorHAnsi" w:cstheme="minorHAnsi"/>
                <w:b/>
                <w:color w:val="000000"/>
              </w:rPr>
              <w:t>IV injection</w:t>
            </w:r>
            <w:r w:rsidR="004F064F">
              <w:rPr>
                <w:rFonts w:asciiTheme="minorHAnsi" w:hAnsiTheme="minorHAnsi" w:cstheme="minorHAnsi"/>
                <w:color w:val="000000"/>
              </w:rPr>
              <w:t xml:space="preserve">- over 2 minutes during the </w:t>
            </w:r>
            <w:r w:rsidRPr="0063331B">
              <w:rPr>
                <w:rFonts w:asciiTheme="minorHAnsi" w:hAnsiTheme="minorHAnsi" w:cstheme="minorHAnsi"/>
                <w:color w:val="000000"/>
              </w:rPr>
              <w:t xml:space="preserve">haemodialysis session. </w:t>
            </w:r>
          </w:p>
        </w:tc>
      </w:tr>
      <w:tr w:rsidR="00350B93" w:rsidRPr="00E12BDD" w14:paraId="0A0B435C" w14:textId="77777777" w:rsidTr="0062237E">
        <w:tc>
          <w:tcPr>
            <w:tcW w:w="1809" w:type="dxa"/>
          </w:tcPr>
          <w:p w14:paraId="36F75AA8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Concentration</w:t>
            </w:r>
            <w:r w:rsidR="00162578">
              <w:rPr>
                <w:rFonts w:ascii="Calibri" w:hAnsi="Calibri" w:cs="Arial"/>
                <w:b/>
              </w:rPr>
              <w:t>/strength</w:t>
            </w:r>
          </w:p>
        </w:tc>
        <w:tc>
          <w:tcPr>
            <w:tcW w:w="7938" w:type="dxa"/>
          </w:tcPr>
          <w:p w14:paraId="4A5DC2E9" w14:textId="5573B6AF" w:rsidR="00310D29" w:rsidRPr="008C7B2E" w:rsidRDefault="00171C33" w:rsidP="0067130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Available as 500, 2000, 3000, 4000, 5000, 600</w:t>
            </w:r>
            <w:r w:rsidR="001246FC">
              <w:rPr>
                <w:rFonts w:ascii="Calibri" w:hAnsi="Calibri" w:cs="Arial"/>
              </w:rPr>
              <w:t xml:space="preserve">0, 10000, 20000 and 30000 unit prefilled syringes. </w:t>
            </w:r>
            <w:r w:rsidR="00D116C6">
              <w:rPr>
                <w:rFonts w:ascii="Calibri" w:hAnsi="Calibri" w:cs="Arial"/>
              </w:rPr>
              <w:t xml:space="preserve"> </w:t>
            </w:r>
          </w:p>
        </w:tc>
      </w:tr>
      <w:tr w:rsidR="008C7B2E" w:rsidRPr="00E12BDD" w14:paraId="77CAB159" w14:textId="77777777" w:rsidTr="0062237E">
        <w:tc>
          <w:tcPr>
            <w:tcW w:w="1809" w:type="dxa"/>
          </w:tcPr>
          <w:p w14:paraId="6D23C44F" w14:textId="77777777" w:rsidR="00B62256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Stability</w:t>
            </w:r>
          </w:p>
        </w:tc>
        <w:tc>
          <w:tcPr>
            <w:tcW w:w="7938" w:type="dxa"/>
          </w:tcPr>
          <w:p w14:paraId="102F0B21" w14:textId="77777777" w:rsidR="00B62256" w:rsidRPr="008C7B2E" w:rsidRDefault="001246FC" w:rsidP="00FA3A9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Store in a refrigerator (2-8</w:t>
            </w:r>
            <w:r w:rsidRPr="001246FC">
              <w:rPr>
                <w:rFonts w:ascii="Calibri" w:hAnsi="Calibri" w:cs="Arial"/>
                <w:vertAlign w:val="superscript"/>
              </w:rPr>
              <w:t>o</w:t>
            </w:r>
            <w:r>
              <w:rPr>
                <w:rFonts w:ascii="Calibri" w:hAnsi="Calibri" w:cs="Arial"/>
              </w:rPr>
              <w:t>C)</w:t>
            </w:r>
            <w:r w:rsidR="0063331B">
              <w:rPr>
                <w:rFonts w:ascii="Calibri" w:hAnsi="Calibri" w:cs="Arial"/>
              </w:rPr>
              <w:t>.</w:t>
            </w:r>
          </w:p>
        </w:tc>
      </w:tr>
      <w:tr w:rsidR="00350B93" w:rsidRPr="00E12BDD" w14:paraId="57000C8A" w14:textId="77777777" w:rsidTr="0062237E">
        <w:tc>
          <w:tcPr>
            <w:tcW w:w="1809" w:type="dxa"/>
          </w:tcPr>
          <w:p w14:paraId="3602A4A9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Reconstitu</w:t>
            </w:r>
            <w:r w:rsidR="00162578">
              <w:rPr>
                <w:rFonts w:ascii="Calibri" w:hAnsi="Calibri" w:cs="Arial"/>
                <w:b/>
              </w:rPr>
              <w:t>t</w:t>
            </w:r>
            <w:r>
              <w:rPr>
                <w:rFonts w:ascii="Calibri" w:hAnsi="Calibri" w:cs="Arial"/>
                <w:b/>
              </w:rPr>
              <w:t>ion instructions</w:t>
            </w:r>
          </w:p>
        </w:tc>
        <w:tc>
          <w:tcPr>
            <w:tcW w:w="7938" w:type="dxa"/>
          </w:tcPr>
          <w:p w14:paraId="1E73AEA7" w14:textId="77777777" w:rsidR="00646DB6" w:rsidRPr="008C7B2E" w:rsidRDefault="0063331B" w:rsidP="00646DB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Pre-filled syringe-no dilution required</w:t>
            </w:r>
          </w:p>
        </w:tc>
      </w:tr>
      <w:tr w:rsidR="00350B93" w:rsidRPr="00E12BDD" w14:paraId="2DE114DA" w14:textId="77777777" w:rsidTr="001246FC">
        <w:trPr>
          <w:trHeight w:val="802"/>
        </w:trPr>
        <w:tc>
          <w:tcPr>
            <w:tcW w:w="1809" w:type="dxa"/>
          </w:tcPr>
          <w:p w14:paraId="37EDFC19" w14:textId="77777777" w:rsidR="00350B93" w:rsidRPr="008C7B2E" w:rsidRDefault="00FA3A9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Additional information</w:t>
            </w:r>
          </w:p>
        </w:tc>
        <w:tc>
          <w:tcPr>
            <w:tcW w:w="7938" w:type="dxa"/>
          </w:tcPr>
          <w:p w14:paraId="3FED2F7C" w14:textId="77777777" w:rsidR="00171C33" w:rsidRDefault="00171C33" w:rsidP="00171C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Ensure patient is medically stable and iron replete with well controlled blood pressure and no contraindications to treatment. </w:t>
            </w:r>
          </w:p>
          <w:p w14:paraId="0943912D" w14:textId="77777777" w:rsidR="00171C33" w:rsidRDefault="00171C33" w:rsidP="00171C33">
            <w:pPr>
              <w:rPr>
                <w:rFonts w:ascii="Calibri" w:hAnsi="Calibri" w:cs="Arial"/>
              </w:rPr>
            </w:pPr>
          </w:p>
          <w:p w14:paraId="002518C2" w14:textId="77777777" w:rsidR="00FF1563" w:rsidRDefault="00171C33" w:rsidP="00171C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Haemoglobin should be monitored </w:t>
            </w:r>
            <w:r w:rsidR="00FF1563">
              <w:rPr>
                <w:rFonts w:ascii="Calibri" w:hAnsi="Calibri" w:cs="Arial"/>
              </w:rPr>
              <w:t xml:space="preserve">every 2-4 weeks </w:t>
            </w:r>
            <w:r>
              <w:rPr>
                <w:rFonts w:ascii="Calibri" w:hAnsi="Calibri" w:cs="Arial"/>
              </w:rPr>
              <w:t xml:space="preserve">and </w:t>
            </w:r>
            <w:proofErr w:type="spellStart"/>
            <w:r>
              <w:rPr>
                <w:rFonts w:ascii="Calibri" w:hAnsi="Calibri" w:cs="Arial"/>
              </w:rPr>
              <w:t>NeoRecormon</w:t>
            </w:r>
            <w:proofErr w:type="spellEnd"/>
            <w:r>
              <w:rPr>
                <w:rFonts w:ascii="Calibri" w:hAnsi="Calibri" w:cs="Arial"/>
              </w:rPr>
              <w:t xml:space="preserve">® dose adjusted accordingly. </w:t>
            </w:r>
          </w:p>
          <w:p w14:paraId="2A3380CD" w14:textId="77777777" w:rsidR="00FF1563" w:rsidRDefault="00FF1563" w:rsidP="00171C33">
            <w:pPr>
              <w:rPr>
                <w:rFonts w:ascii="Calibri" w:hAnsi="Calibri" w:cs="Arial"/>
              </w:rPr>
            </w:pPr>
          </w:p>
          <w:p w14:paraId="14E10667" w14:textId="77777777" w:rsidR="00171C33" w:rsidRDefault="00FF1563" w:rsidP="00171C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haemoglobin exceeds 130g/l, w</w:t>
            </w:r>
            <w:r w:rsidR="00171C33">
              <w:rPr>
                <w:rFonts w:ascii="Calibri" w:hAnsi="Calibri" w:cs="Arial"/>
              </w:rPr>
              <w:t xml:space="preserve">ithhold dose and </w:t>
            </w:r>
            <w:r>
              <w:rPr>
                <w:rFonts w:ascii="Calibri" w:hAnsi="Calibri" w:cs="Arial"/>
              </w:rPr>
              <w:t>inform responsible medical staff.</w:t>
            </w:r>
          </w:p>
          <w:p w14:paraId="17BF5BB0" w14:textId="77777777" w:rsidR="00FF1563" w:rsidRDefault="00FF1563" w:rsidP="00171C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haemoglobin is below 100g/l, inform medical staff.</w:t>
            </w:r>
          </w:p>
          <w:p w14:paraId="232D203E" w14:textId="77777777" w:rsidR="00FF1563" w:rsidRDefault="00FF1563" w:rsidP="00171C33">
            <w:pPr>
              <w:rPr>
                <w:rFonts w:ascii="Calibri" w:hAnsi="Calibri" w:cs="Arial"/>
              </w:rPr>
            </w:pPr>
          </w:p>
          <w:p w14:paraId="153AB1EF" w14:textId="1F85635E" w:rsidR="00FF1563" w:rsidRPr="00D116C6" w:rsidRDefault="00FF1563" w:rsidP="00FF156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000000"/>
              </w:rPr>
            </w:pPr>
            <w:proofErr w:type="spellStart"/>
            <w:r w:rsidRPr="00D116C6">
              <w:rPr>
                <w:rFonts w:ascii="Calibri" w:hAnsi="Calibri" w:cs="Calibri"/>
                <w:bCs/>
                <w:color w:val="000000"/>
                <w:bdr w:val="none" w:sz="0" w:space="0" w:color="auto" w:frame="1"/>
              </w:rPr>
              <w:t>NeoRecormon</w:t>
            </w:r>
            <w:proofErr w:type="spellEnd"/>
            <w:r w:rsidRPr="00D116C6">
              <w:rPr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can cause worsening of hypertension with serious consequences. Blood pressure should be checked prior to each administration. If the first recorded BP on dialysis is &gt;170/95mmHg (either systolic OR diastolic OR both) then </w:t>
            </w:r>
            <w:proofErr w:type="spellStart"/>
            <w:r w:rsidRPr="00D116C6">
              <w:rPr>
                <w:rFonts w:ascii="Calibri" w:hAnsi="Calibri" w:cs="Calibri"/>
                <w:bCs/>
                <w:color w:val="000000"/>
                <w:bdr w:val="none" w:sz="0" w:space="0" w:color="auto" w:frame="1"/>
              </w:rPr>
              <w:t>NeoRecormon</w:t>
            </w:r>
            <w:proofErr w:type="spellEnd"/>
            <w:r w:rsidRPr="00D116C6">
              <w:rPr>
                <w:rFonts w:ascii="Calibri" w:hAnsi="Calibri" w:cs="Calibri"/>
                <w:bCs/>
                <w:color w:val="000000"/>
                <w:bdr w:val="none" w:sz="0" w:space="0" w:color="auto" w:frame="1"/>
              </w:rPr>
              <w:t xml:space="preserve"> should not be given. This applies even if later BP measurements have dropped. Medical staff should be informed of this either directly or via handover.</w:t>
            </w:r>
          </w:p>
          <w:p w14:paraId="07C8D546" w14:textId="77777777" w:rsidR="009F245C" w:rsidRDefault="009F245C" w:rsidP="009F245C">
            <w:pPr>
              <w:tabs>
                <w:tab w:val="left" w:pos="6816"/>
              </w:tabs>
              <w:rPr>
                <w:rFonts w:ascii="Calibri" w:hAnsi="Calibri" w:cs="Arial"/>
              </w:rPr>
            </w:pPr>
          </w:p>
          <w:p w14:paraId="77166BB2" w14:textId="77777777" w:rsidR="00D116C6" w:rsidRDefault="00D116C6" w:rsidP="00D116C6">
            <w:r>
              <w:rPr>
                <w:rFonts w:ascii="Calibri" w:hAnsi="Calibri" w:cs="Arial"/>
              </w:rPr>
              <w:t xml:space="preserve">See Shared Care Agreement: </w:t>
            </w:r>
            <w:hyperlink r:id="rId8" w:history="1">
              <w:r>
                <w:rPr>
                  <w:rStyle w:val="Hyperlink"/>
                  <w:rFonts w:ascii="Calibri" w:hAnsi="Calibri" w:cs="Arial"/>
                </w:rPr>
                <w:t>NHLS shared care agreements</w:t>
              </w:r>
            </w:hyperlink>
            <w:r>
              <w:t xml:space="preserve">.  </w:t>
            </w:r>
          </w:p>
          <w:p w14:paraId="330DA78A" w14:textId="002719D3" w:rsidR="009F245C" w:rsidRPr="001246FC" w:rsidRDefault="009F245C" w:rsidP="009F245C">
            <w:pPr>
              <w:tabs>
                <w:tab w:val="left" w:pos="6816"/>
              </w:tabs>
              <w:rPr>
                <w:rFonts w:ascii="Calibri" w:hAnsi="Calibri" w:cs="Arial"/>
              </w:rPr>
            </w:pPr>
          </w:p>
        </w:tc>
      </w:tr>
    </w:tbl>
    <w:p w14:paraId="2EE9C01F" w14:textId="77777777" w:rsidR="00350B93" w:rsidRPr="0035107A" w:rsidRDefault="00350B93">
      <w:pPr>
        <w:rPr>
          <w:rFonts w:ascii="Calibri" w:hAnsi="Calibri" w:cs="Arial"/>
          <w:sz w:val="28"/>
          <w:szCs w:val="28"/>
        </w:rPr>
      </w:pPr>
    </w:p>
    <w:sectPr w:rsidR="00350B93" w:rsidRPr="0035107A" w:rsidSect="008B6DA5">
      <w:footerReference w:type="default" r:id="rId9"/>
      <w:pgSz w:w="11906" w:h="16838"/>
      <w:pgMar w:top="993" w:right="1080" w:bottom="1440" w:left="1080" w:header="708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C980" w14:textId="77777777" w:rsidR="0062237E" w:rsidRDefault="0062237E">
      <w:r>
        <w:separator/>
      </w:r>
    </w:p>
  </w:endnote>
  <w:endnote w:type="continuationSeparator" w:id="0">
    <w:p w14:paraId="37E36FE6" w14:textId="77777777" w:rsidR="0062237E" w:rsidRDefault="0062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08D4" w14:textId="77777777" w:rsidR="00AA4947" w:rsidRDefault="00AA4947" w:rsidP="00AA4947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 xml:space="preserve">Written by: </w:t>
    </w:r>
    <w:r>
      <w:rPr>
        <w:rFonts w:ascii="Calibri" w:hAnsi="Calibri"/>
        <w:i/>
        <w:sz w:val="20"/>
        <w:szCs w:val="20"/>
      </w:rPr>
      <w:t>Joanna Hutchison (Renal Pharmacist) &amp; Paddy Gibson (Nephrologist)</w:t>
    </w:r>
  </w:p>
  <w:p w14:paraId="748D5E9E" w14:textId="1B5DF7D9" w:rsidR="00AA4947" w:rsidRDefault="00AA4947" w:rsidP="00AA4947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Reviewed by:</w:t>
    </w:r>
    <w:r>
      <w:rPr>
        <w:rFonts w:ascii="Calibri" w:hAnsi="Calibri"/>
        <w:i/>
        <w:sz w:val="20"/>
        <w:szCs w:val="20"/>
      </w:rPr>
      <w:t xml:space="preserve"> Maggie Davidson (Renal Pharmacist)</w:t>
    </w:r>
    <w:r w:rsidR="00D116C6">
      <w:rPr>
        <w:rFonts w:ascii="Calibri" w:hAnsi="Calibri"/>
        <w:i/>
        <w:sz w:val="20"/>
        <w:szCs w:val="20"/>
      </w:rPr>
      <w:t xml:space="preserve"> &amp; Rob Hunter</w:t>
    </w:r>
  </w:p>
  <w:p w14:paraId="6E73B6AD" w14:textId="1DF1AFC4" w:rsidR="00AA4947" w:rsidRDefault="00AA4947" w:rsidP="00AA4947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Date reviewed:</w:t>
    </w:r>
    <w:r>
      <w:rPr>
        <w:rFonts w:ascii="Calibri" w:hAnsi="Calibri"/>
        <w:i/>
        <w:sz w:val="20"/>
        <w:szCs w:val="20"/>
      </w:rPr>
      <w:t xml:space="preserve"> </w:t>
    </w:r>
    <w:r w:rsidR="00D116C6">
      <w:rPr>
        <w:rFonts w:ascii="Calibri" w:hAnsi="Calibri"/>
        <w:i/>
        <w:sz w:val="20"/>
        <w:szCs w:val="20"/>
      </w:rPr>
      <w:t>Jan 2026</w:t>
    </w:r>
  </w:p>
  <w:p w14:paraId="6833FE9C" w14:textId="4729559C" w:rsidR="00AA4947" w:rsidRDefault="00AA4947" w:rsidP="00AA4947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Due:</w:t>
    </w:r>
    <w:r>
      <w:rPr>
        <w:rFonts w:ascii="Calibri" w:hAnsi="Calibri"/>
        <w:i/>
        <w:sz w:val="20"/>
        <w:szCs w:val="20"/>
      </w:rPr>
      <w:t xml:space="preserve"> J</w:t>
    </w:r>
    <w:r w:rsidR="00D116C6">
      <w:rPr>
        <w:rFonts w:ascii="Calibri" w:hAnsi="Calibri"/>
        <w:i/>
        <w:sz w:val="20"/>
        <w:szCs w:val="20"/>
      </w:rPr>
      <w:t>an 2029</w:t>
    </w:r>
  </w:p>
  <w:p w14:paraId="2DBB98F0" w14:textId="77777777" w:rsidR="00AA4947" w:rsidRDefault="00AA4947" w:rsidP="00AA4947">
    <w:pPr>
      <w:pStyle w:val="Footer"/>
      <w:jc w:val="right"/>
      <w:rPr>
        <w:rFonts w:ascii="Calibri" w:hAnsi="Calibri"/>
        <w:i/>
        <w:sz w:val="16"/>
        <w:szCs w:val="20"/>
      </w:rPr>
    </w:pPr>
  </w:p>
  <w:p w14:paraId="10E7091B" w14:textId="77777777" w:rsidR="00AA4947" w:rsidRDefault="00AA4947" w:rsidP="00AA4947">
    <w:pPr>
      <w:pStyle w:val="Footer"/>
      <w:jc w:val="right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 xml:space="preserve">page </w:t>
    </w:r>
    <w:r>
      <w:rPr>
        <w:rFonts w:ascii="Calibri" w:hAnsi="Calibri"/>
        <w:b/>
        <w:i/>
        <w:sz w:val="20"/>
        <w:szCs w:val="20"/>
      </w:rPr>
      <w:fldChar w:fldCharType="begin"/>
    </w:r>
    <w:r>
      <w:rPr>
        <w:rFonts w:ascii="Calibri" w:hAnsi="Calibri"/>
        <w:b/>
        <w:i/>
        <w:sz w:val="20"/>
        <w:szCs w:val="20"/>
      </w:rPr>
      <w:instrText xml:space="preserve"> PAGE   \* MERGEFORMAT </w:instrText>
    </w:r>
    <w:r>
      <w:rPr>
        <w:rFonts w:ascii="Calibri" w:hAnsi="Calibri"/>
        <w:b/>
        <w:i/>
        <w:sz w:val="20"/>
        <w:szCs w:val="20"/>
      </w:rPr>
      <w:fldChar w:fldCharType="separate"/>
    </w:r>
    <w:r>
      <w:rPr>
        <w:rFonts w:ascii="Calibri" w:hAnsi="Calibri"/>
        <w:b/>
        <w:i/>
        <w:noProof/>
        <w:sz w:val="20"/>
        <w:szCs w:val="20"/>
      </w:rPr>
      <w:t>1</w:t>
    </w:r>
    <w:r>
      <w:rPr>
        <w:rFonts w:ascii="Calibri" w:hAnsi="Calibri"/>
        <w:b/>
        <w:i/>
        <w:sz w:val="20"/>
        <w:szCs w:val="20"/>
      </w:rPr>
      <w:fldChar w:fldCharType="end"/>
    </w:r>
    <w:r>
      <w:rPr>
        <w:rFonts w:ascii="Calibri" w:hAnsi="Calibri"/>
        <w:b/>
        <w:i/>
        <w:sz w:val="20"/>
        <w:szCs w:val="20"/>
      </w:rPr>
      <w:t xml:space="preserve"> of </w:t>
    </w:r>
    <w:fldSimple w:instr=" NUMPAGES  \* Arabic  \* MERGEFORMAT ">
      <w:r w:rsidRPr="00AA4947">
        <w:rPr>
          <w:rFonts w:ascii="Calibri" w:hAnsi="Calibri"/>
          <w:b/>
          <w:i/>
          <w:noProof/>
          <w:sz w:val="20"/>
          <w:szCs w:val="20"/>
        </w:rPr>
        <w:t>1</w:t>
      </w:r>
    </w:fldSimple>
  </w:p>
  <w:p w14:paraId="0A550317" w14:textId="77777777" w:rsidR="00AA4947" w:rsidRDefault="00AA4947" w:rsidP="00AA4947">
    <w:pPr>
      <w:pStyle w:val="Footer"/>
      <w:jc w:val="right"/>
      <w:rPr>
        <w:rFonts w:ascii="Calibri" w:hAnsi="Calibri"/>
        <w:i/>
        <w:sz w:val="16"/>
        <w:szCs w:val="20"/>
      </w:rPr>
    </w:pPr>
  </w:p>
  <w:p w14:paraId="7A643842" w14:textId="77777777" w:rsidR="00AA4947" w:rsidRDefault="00AA4947" w:rsidP="00AA4947">
    <w:pPr>
      <w:pStyle w:val="Footer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This document was printed on </w:t>
    </w:r>
    <w:r>
      <w:rPr>
        <w:rFonts w:ascii="Calibri" w:hAnsi="Calibri"/>
        <w:i/>
        <w:sz w:val="16"/>
        <w:szCs w:val="16"/>
      </w:rPr>
      <w:fldChar w:fldCharType="begin"/>
    </w:r>
    <w:r>
      <w:rPr>
        <w:rFonts w:ascii="Calibri" w:hAnsi="Calibri"/>
        <w:i/>
        <w:sz w:val="16"/>
        <w:szCs w:val="16"/>
      </w:rPr>
      <w:instrText xml:space="preserve"> TIME \@ "dd MMMM yyyy" </w:instrText>
    </w:r>
    <w:r>
      <w:rPr>
        <w:rFonts w:ascii="Calibri" w:hAnsi="Calibri"/>
        <w:i/>
        <w:sz w:val="16"/>
        <w:szCs w:val="16"/>
      </w:rPr>
      <w:fldChar w:fldCharType="separate"/>
    </w:r>
    <w:r w:rsidR="00D116C6">
      <w:rPr>
        <w:rFonts w:ascii="Calibri" w:hAnsi="Calibri"/>
        <w:i/>
        <w:noProof/>
        <w:sz w:val="16"/>
        <w:szCs w:val="16"/>
      </w:rPr>
      <w:t>14 January 2026</w:t>
    </w:r>
    <w:r>
      <w:rPr>
        <w:rFonts w:ascii="Calibri" w:hAnsi="Calibri"/>
        <w:i/>
        <w:sz w:val="16"/>
        <w:szCs w:val="16"/>
      </w:rPr>
      <w:fldChar w:fldCharType="end"/>
    </w:r>
    <w:r>
      <w:rPr>
        <w:rFonts w:ascii="Calibri" w:hAnsi="Calibri"/>
        <w:i/>
        <w:sz w:val="16"/>
        <w:szCs w:val="16"/>
      </w:rPr>
      <w:t xml:space="preserve">; please check </w:t>
    </w:r>
    <w:hyperlink r:id="rId1" w:history="1">
      <w:r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>
      <w:rPr>
        <w:rFonts w:ascii="Calibri" w:hAnsi="Calibri"/>
        <w:i/>
        <w:sz w:val="16"/>
        <w:szCs w:val="16"/>
      </w:rPr>
      <w:t xml:space="preserve"> for most up-to-date protocol.</w:t>
    </w:r>
  </w:p>
  <w:p w14:paraId="71CF30F0" w14:textId="77777777" w:rsidR="00AA4947" w:rsidRDefault="00AA4947" w:rsidP="00BD6305">
    <w:pPr>
      <w:pStyle w:val="Footer"/>
      <w:jc w:val="right"/>
      <w:rPr>
        <w:rFonts w:ascii="Calibri" w:hAnsi="Calibri"/>
        <w:i/>
        <w:sz w:val="20"/>
        <w:szCs w:val="20"/>
      </w:rPr>
    </w:pPr>
  </w:p>
  <w:p w14:paraId="349555DC" w14:textId="77777777" w:rsidR="0062237E" w:rsidRPr="00F80228" w:rsidRDefault="0062237E" w:rsidP="00F80228">
    <w:pPr>
      <w:pStyle w:val="Footer"/>
      <w:jc w:val="right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9478" w14:textId="77777777" w:rsidR="0062237E" w:rsidRDefault="0062237E">
      <w:r>
        <w:separator/>
      </w:r>
    </w:p>
  </w:footnote>
  <w:footnote w:type="continuationSeparator" w:id="0">
    <w:p w14:paraId="695E104B" w14:textId="77777777" w:rsidR="0062237E" w:rsidRDefault="00622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AD9"/>
    <w:multiLevelType w:val="hybridMultilevel"/>
    <w:tmpl w:val="1192859C"/>
    <w:lvl w:ilvl="0" w:tplc="8CD08B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4A50"/>
    <w:multiLevelType w:val="hybridMultilevel"/>
    <w:tmpl w:val="440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34CCC"/>
    <w:multiLevelType w:val="hybridMultilevel"/>
    <w:tmpl w:val="F94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338"/>
    <w:multiLevelType w:val="hybridMultilevel"/>
    <w:tmpl w:val="F5CA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316E1"/>
    <w:multiLevelType w:val="hybridMultilevel"/>
    <w:tmpl w:val="D4A075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E0BED"/>
    <w:multiLevelType w:val="hybridMultilevel"/>
    <w:tmpl w:val="7B9C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15AF"/>
    <w:multiLevelType w:val="hybridMultilevel"/>
    <w:tmpl w:val="AD925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22842"/>
    <w:multiLevelType w:val="hybridMultilevel"/>
    <w:tmpl w:val="5C7A3A26"/>
    <w:lvl w:ilvl="0" w:tplc="8CD08B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A52E5"/>
    <w:multiLevelType w:val="hybridMultilevel"/>
    <w:tmpl w:val="B09CD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818511">
    <w:abstractNumId w:val="3"/>
  </w:num>
  <w:num w:numId="2" w16cid:durableId="2109278103">
    <w:abstractNumId w:val="1"/>
  </w:num>
  <w:num w:numId="3" w16cid:durableId="1037970233">
    <w:abstractNumId w:val="8"/>
  </w:num>
  <w:num w:numId="4" w16cid:durableId="936867276">
    <w:abstractNumId w:val="7"/>
  </w:num>
  <w:num w:numId="5" w16cid:durableId="1010252009">
    <w:abstractNumId w:val="10"/>
  </w:num>
  <w:num w:numId="6" w16cid:durableId="522675575">
    <w:abstractNumId w:val="5"/>
  </w:num>
  <w:num w:numId="7" w16cid:durableId="1518122">
    <w:abstractNumId w:val="2"/>
  </w:num>
  <w:num w:numId="8" w16cid:durableId="1326662196">
    <w:abstractNumId w:val="0"/>
  </w:num>
  <w:num w:numId="9" w16cid:durableId="2061857722">
    <w:abstractNumId w:val="9"/>
  </w:num>
  <w:num w:numId="10" w16cid:durableId="1540975812">
    <w:abstractNumId w:val="6"/>
  </w:num>
  <w:num w:numId="11" w16cid:durableId="1536311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0180D"/>
    <w:rsid w:val="0001043D"/>
    <w:rsid w:val="00061EE3"/>
    <w:rsid w:val="00075371"/>
    <w:rsid w:val="000E6548"/>
    <w:rsid w:val="001246FC"/>
    <w:rsid w:val="001470B4"/>
    <w:rsid w:val="00162578"/>
    <w:rsid w:val="00171C33"/>
    <w:rsid w:val="001B2884"/>
    <w:rsid w:val="00212642"/>
    <w:rsid w:val="002155A0"/>
    <w:rsid w:val="00260E23"/>
    <w:rsid w:val="00266913"/>
    <w:rsid w:val="00286AA7"/>
    <w:rsid w:val="002C727B"/>
    <w:rsid w:val="002D460B"/>
    <w:rsid w:val="00310D29"/>
    <w:rsid w:val="0032612F"/>
    <w:rsid w:val="0034514D"/>
    <w:rsid w:val="00350B93"/>
    <w:rsid w:val="0035107A"/>
    <w:rsid w:val="00354934"/>
    <w:rsid w:val="003562E8"/>
    <w:rsid w:val="003B282B"/>
    <w:rsid w:val="003E1910"/>
    <w:rsid w:val="00453250"/>
    <w:rsid w:val="004F064F"/>
    <w:rsid w:val="00522C60"/>
    <w:rsid w:val="00593018"/>
    <w:rsid w:val="0062237E"/>
    <w:rsid w:val="0063078D"/>
    <w:rsid w:val="0063331B"/>
    <w:rsid w:val="00646DB6"/>
    <w:rsid w:val="00671306"/>
    <w:rsid w:val="00680F04"/>
    <w:rsid w:val="006B6DA3"/>
    <w:rsid w:val="0074371C"/>
    <w:rsid w:val="007A7E70"/>
    <w:rsid w:val="007F3D3E"/>
    <w:rsid w:val="007F7916"/>
    <w:rsid w:val="00870C3D"/>
    <w:rsid w:val="008A6538"/>
    <w:rsid w:val="008B6DA5"/>
    <w:rsid w:val="008C2429"/>
    <w:rsid w:val="008C4F42"/>
    <w:rsid w:val="008C7A93"/>
    <w:rsid w:val="008C7B2E"/>
    <w:rsid w:val="008F6582"/>
    <w:rsid w:val="0090142F"/>
    <w:rsid w:val="00947E30"/>
    <w:rsid w:val="0095580B"/>
    <w:rsid w:val="009D3861"/>
    <w:rsid w:val="009F245C"/>
    <w:rsid w:val="009F5337"/>
    <w:rsid w:val="00AA4947"/>
    <w:rsid w:val="00AC364D"/>
    <w:rsid w:val="00AD46C2"/>
    <w:rsid w:val="00AE0239"/>
    <w:rsid w:val="00B00C80"/>
    <w:rsid w:val="00B13B8E"/>
    <w:rsid w:val="00B35183"/>
    <w:rsid w:val="00B62256"/>
    <w:rsid w:val="00B82742"/>
    <w:rsid w:val="00B85BAC"/>
    <w:rsid w:val="00BA2823"/>
    <w:rsid w:val="00BD6305"/>
    <w:rsid w:val="00C36375"/>
    <w:rsid w:val="00C65E21"/>
    <w:rsid w:val="00CE4E83"/>
    <w:rsid w:val="00D116C6"/>
    <w:rsid w:val="00DE4C51"/>
    <w:rsid w:val="00E12BDD"/>
    <w:rsid w:val="00E619E7"/>
    <w:rsid w:val="00E6232B"/>
    <w:rsid w:val="00EA29B9"/>
    <w:rsid w:val="00ED237E"/>
    <w:rsid w:val="00EE45BC"/>
    <w:rsid w:val="00F0248E"/>
    <w:rsid w:val="00F80228"/>
    <w:rsid w:val="00FA3A96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9CBD8"/>
  <w15:docId w15:val="{CD0F45D8-3A7F-4E67-B27E-3E604EA0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93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2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table" w:styleId="TableGrid">
    <w:name w:val="Table Grid"/>
    <w:basedOn w:val="TableNormal"/>
    <w:rsid w:val="002C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2C727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character" w:customStyle="1" w:styleId="FooterChar">
    <w:name w:val="Footer Char"/>
    <w:basedOn w:val="DefaultParagraphFont"/>
    <w:link w:val="Footer"/>
    <w:uiPriority w:val="99"/>
    <w:rsid w:val="00BD6305"/>
    <w:rPr>
      <w:sz w:val="24"/>
      <w:szCs w:val="24"/>
      <w:lang w:eastAsia="en-US"/>
    </w:rPr>
  </w:style>
  <w:style w:type="paragraph" w:customStyle="1" w:styleId="Default">
    <w:name w:val="Default"/>
    <w:rsid w:val="00AD46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171C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156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ary.nhs.scot/east/help-and-support/for-healthcare-professionals/shared-care-of-medicines/nhs-lothian-shared-care-agreem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5</cp:revision>
  <cp:lastPrinted>2018-01-30T12:36:00Z</cp:lastPrinted>
  <dcterms:created xsi:type="dcterms:W3CDTF">2023-01-10T14:39:00Z</dcterms:created>
  <dcterms:modified xsi:type="dcterms:W3CDTF">2026-01-14T12:52:00Z</dcterms:modified>
</cp:coreProperties>
</file>