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7"/>
        <w:tblW w:w="106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6"/>
      </w:tblGrid>
      <w:tr w:rsidR="005F044B" w:rsidRPr="00D929B4" w14:paraId="49FB4C90" w14:textId="77777777" w:rsidTr="00D929B4">
        <w:trPr>
          <w:trHeight w:val="1113"/>
        </w:trPr>
        <w:tc>
          <w:tcPr>
            <w:tcW w:w="10606" w:type="dxa"/>
          </w:tcPr>
          <w:p w14:paraId="13745E1D" w14:textId="77777777" w:rsidR="005F044B" w:rsidRPr="00D929B4" w:rsidRDefault="005F044B" w:rsidP="00972E28">
            <w:pPr>
              <w:rPr>
                <w:rFonts w:ascii="Calibri" w:hAnsi="Calibri" w:cs="Arial"/>
                <w:b/>
                <w:sz w:val="32"/>
                <w:szCs w:val="28"/>
              </w:rPr>
            </w:pPr>
            <w:r w:rsidRPr="00D929B4">
              <w:rPr>
                <w:rFonts w:ascii="Calibri" w:hAnsi="Calibri" w:cs="Arial"/>
                <w:b/>
                <w:sz w:val="32"/>
                <w:szCs w:val="28"/>
              </w:rPr>
              <w:t>Renal Directorate Guidelines</w:t>
            </w:r>
          </w:p>
          <w:p w14:paraId="724B3348" w14:textId="77777777" w:rsidR="005F044B" w:rsidRPr="00D929B4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 w:rsidRPr="00D929B4">
              <w:rPr>
                <w:rFonts w:ascii="Calibri" w:hAnsi="Calibri" w:cs="Arial"/>
                <w:b/>
                <w:sz w:val="32"/>
                <w:szCs w:val="28"/>
              </w:rPr>
              <w:t>Royal Infirmary of Edinburgh</w:t>
            </w:r>
          </w:p>
        </w:tc>
      </w:tr>
    </w:tbl>
    <w:p w14:paraId="48B51072" w14:textId="77777777" w:rsidR="00D929B4" w:rsidRPr="00D929B4" w:rsidRDefault="00D929B4" w:rsidP="00D929B4">
      <w:pPr>
        <w:ind w:left="-142"/>
        <w:rPr>
          <w:rFonts w:ascii="Calibri" w:hAnsi="Calibri" w:cs="Arial"/>
          <w:b/>
          <w:sz w:val="2"/>
          <w:szCs w:val="32"/>
        </w:rPr>
      </w:pPr>
      <w:r>
        <w:rPr>
          <w:rFonts w:ascii="Calibri" w:hAnsi="Calibri" w:cs="Arial"/>
          <w:b/>
          <w:noProof/>
          <w:sz w:val="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3CDCCDAC" wp14:editId="7DCB13B3">
            <wp:simplePos x="0" y="0"/>
            <wp:positionH relativeFrom="column">
              <wp:posOffset>5524500</wp:posOffset>
            </wp:positionH>
            <wp:positionV relativeFrom="paragraph">
              <wp:posOffset>-528955</wp:posOffset>
            </wp:positionV>
            <wp:extent cx="1071245" cy="843915"/>
            <wp:effectExtent l="19050" t="0" r="0" b="0"/>
            <wp:wrapTight wrapText="bothSides">
              <wp:wrapPolygon edited="0">
                <wp:start x="-384" y="0"/>
                <wp:lineTo x="-384" y="20966"/>
                <wp:lineTo x="21510" y="20966"/>
                <wp:lineTo x="21510" y="0"/>
                <wp:lineTo x="-38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9B4">
        <w:rPr>
          <w:rFonts w:ascii="Calibri" w:hAnsi="Calibri" w:cs="Arial"/>
          <w:b/>
          <w:sz w:val="2"/>
          <w:szCs w:val="32"/>
        </w:rPr>
        <w:t xml:space="preserve">  </w:t>
      </w:r>
    </w:p>
    <w:p w14:paraId="6544C0F9" w14:textId="77777777" w:rsidR="005F044B" w:rsidRDefault="00D929B4" w:rsidP="00D929B4">
      <w:pPr>
        <w:ind w:left="-142"/>
        <w:rPr>
          <w:rFonts w:ascii="Calibri" w:hAnsi="Calibri" w:cs="Arial"/>
          <w:b/>
          <w:sz w:val="36"/>
          <w:szCs w:val="32"/>
        </w:rPr>
      </w:pPr>
      <w:r w:rsidRPr="00D929B4">
        <w:rPr>
          <w:rFonts w:ascii="Calibri" w:hAnsi="Calibri" w:cs="Arial"/>
          <w:b/>
          <w:sz w:val="18"/>
          <w:szCs w:val="32"/>
        </w:rPr>
        <w:t xml:space="preserve">  </w:t>
      </w:r>
      <w:r w:rsidR="00435BBF" w:rsidRPr="00A54BC3">
        <w:rPr>
          <w:rFonts w:ascii="Calibri" w:hAnsi="Calibri" w:cs="Arial"/>
          <w:b/>
          <w:sz w:val="36"/>
          <w:szCs w:val="32"/>
        </w:rPr>
        <w:t>Sodium Thiosulphate</w:t>
      </w:r>
    </w:p>
    <w:p w14:paraId="19AC0F50" w14:textId="77777777" w:rsidR="00D929B4" w:rsidRPr="00D929B4" w:rsidRDefault="00D929B4" w:rsidP="00D929B4">
      <w:pPr>
        <w:ind w:left="-142"/>
        <w:rPr>
          <w:rFonts w:ascii="Calibri" w:hAnsi="Calibri" w:cs="Arial"/>
          <w:b/>
          <w:sz w:val="2"/>
          <w:szCs w:val="32"/>
        </w:rPr>
      </w:pPr>
      <w:r w:rsidRPr="00D929B4">
        <w:rPr>
          <w:rFonts w:ascii="Calibri" w:hAnsi="Calibri" w:cs="Arial"/>
          <w:b/>
          <w:sz w:val="2"/>
          <w:szCs w:val="32"/>
        </w:rPr>
        <w:t xml:space="preserve">  </w:t>
      </w:r>
    </w:p>
    <w:p w14:paraId="78D43764" w14:textId="77777777" w:rsidR="00A54BC3" w:rsidRPr="00D929B4" w:rsidRDefault="00A54BC3" w:rsidP="00A54BC3">
      <w:pPr>
        <w:ind w:left="-1134"/>
        <w:rPr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7508"/>
      </w:tblGrid>
      <w:tr w:rsidR="005F044B" w:rsidRPr="00E12BDD" w14:paraId="1AD5A2E7" w14:textId="77777777" w:rsidTr="00926B78">
        <w:tc>
          <w:tcPr>
            <w:tcW w:w="30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DF48A" w14:textId="77777777" w:rsidR="005F044B" w:rsidRPr="00823D6C" w:rsidRDefault="005F044B" w:rsidP="00B83570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75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AF354" w14:textId="77777777" w:rsidR="008D568E" w:rsidRPr="00823D6C" w:rsidRDefault="00D20563" w:rsidP="0036517C">
            <w:pPr>
              <w:pStyle w:val="BlockText"/>
              <w:tabs>
                <w:tab w:val="left" w:pos="9639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Management of</w:t>
            </w:r>
            <w:r w:rsidR="00EB1224">
              <w:rPr>
                <w:rFonts w:ascii="Calibri" w:hAnsi="Calibri"/>
              </w:rPr>
              <w:t xml:space="preserve"> calciphylaxis</w:t>
            </w:r>
            <w:r w:rsidR="00D642AD">
              <w:rPr>
                <w:rFonts w:ascii="Calibri" w:hAnsi="Calibri"/>
              </w:rPr>
              <w:t xml:space="preserve"> (unlicensed</w:t>
            </w:r>
            <w:r>
              <w:rPr>
                <w:rFonts w:ascii="Calibri" w:hAnsi="Calibri"/>
              </w:rPr>
              <w:t xml:space="preserve"> indication)</w:t>
            </w:r>
          </w:p>
        </w:tc>
      </w:tr>
      <w:tr w:rsidR="005F044B" w:rsidRPr="00E12BDD" w14:paraId="7F052E10" w14:textId="77777777" w:rsidTr="00926B78">
        <w:tc>
          <w:tcPr>
            <w:tcW w:w="30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D7416D" w14:textId="77777777" w:rsidR="005F044B" w:rsidRPr="00823D6C" w:rsidRDefault="005F044B" w:rsidP="00B83570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508" w:type="dxa"/>
            <w:tcMar>
              <w:top w:w="113" w:type="dxa"/>
              <w:left w:w="113" w:type="dxa"/>
              <w:bottom w:w="113" w:type="dxa"/>
              <w:right w:w="170" w:type="dxa"/>
            </w:tcMar>
          </w:tcPr>
          <w:p w14:paraId="2CF5AD58" w14:textId="77777777" w:rsidR="00D20563" w:rsidRDefault="00D84F7B" w:rsidP="009E30D2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D929B4">
              <w:rPr>
                <w:rFonts w:ascii="Calibri" w:hAnsi="Calibri"/>
                <w:b/>
              </w:rPr>
              <w:t>I</w:t>
            </w:r>
            <w:r>
              <w:rPr>
                <w:rFonts w:ascii="Calibri" w:hAnsi="Calibri"/>
                <w:b/>
              </w:rPr>
              <w:t>R</w:t>
            </w:r>
            <w:r w:rsidR="00D929B4">
              <w:rPr>
                <w:rFonts w:ascii="Calibri" w:hAnsi="Calibri"/>
                <w:b/>
              </w:rPr>
              <w:t>ST (</w:t>
            </w:r>
            <w:r w:rsidR="00A54BC3">
              <w:rPr>
                <w:rFonts w:ascii="Calibri" w:hAnsi="Calibri"/>
                <w:b/>
              </w:rPr>
              <w:t>TEST</w:t>
            </w:r>
            <w:r w:rsidR="00D929B4">
              <w:rPr>
                <w:rFonts w:ascii="Calibri" w:hAnsi="Calibri"/>
                <w:b/>
              </w:rPr>
              <w:t>)</w:t>
            </w:r>
            <w:r w:rsidR="00D20563">
              <w:rPr>
                <w:rFonts w:ascii="Calibri" w:hAnsi="Calibri"/>
                <w:b/>
              </w:rPr>
              <w:t xml:space="preserve"> DOSE</w:t>
            </w:r>
          </w:p>
          <w:p w14:paraId="6807CC07" w14:textId="77777777" w:rsidR="0036517C" w:rsidRPr="0036517C" w:rsidRDefault="0036517C" w:rsidP="00A54BC3">
            <w:pPr>
              <w:pStyle w:val="BlockText"/>
              <w:numPr>
                <w:ilvl w:val="0"/>
                <w:numId w:val="3"/>
              </w:numPr>
              <w:ind w:left="396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Pre-treat with ondans</w:t>
            </w:r>
            <w:r w:rsidR="00D642AD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tron 4mg IV 30 minutes </w:t>
            </w:r>
            <w:r w:rsidRPr="00A54BC3">
              <w:rPr>
                <w:rFonts w:ascii="Calibri" w:hAnsi="Calibri"/>
                <w:b/>
              </w:rPr>
              <w:t>prior</w:t>
            </w:r>
            <w:r>
              <w:rPr>
                <w:rFonts w:ascii="Calibri" w:hAnsi="Calibri"/>
              </w:rPr>
              <w:t xml:space="preserve"> to infusion.</w:t>
            </w:r>
          </w:p>
          <w:p w14:paraId="0E2B1831" w14:textId="77777777" w:rsidR="00A54BC3" w:rsidRDefault="00972E28" w:rsidP="00A54BC3">
            <w:pPr>
              <w:pStyle w:val="BlockText"/>
              <w:numPr>
                <w:ilvl w:val="0"/>
                <w:numId w:val="3"/>
              </w:numPr>
              <w:ind w:left="396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Give </w:t>
            </w:r>
            <w:r w:rsidR="00D20563" w:rsidRPr="0036517C">
              <w:rPr>
                <w:rFonts w:ascii="Calibri" w:hAnsi="Calibri"/>
                <w:b/>
              </w:rPr>
              <w:t>12.5g</w:t>
            </w:r>
            <w:r w:rsidR="00D20563">
              <w:rPr>
                <w:rFonts w:ascii="Calibri" w:hAnsi="Calibri"/>
              </w:rPr>
              <w:t xml:space="preserve"> </w:t>
            </w:r>
            <w:r w:rsidR="0036517C">
              <w:rPr>
                <w:rFonts w:ascii="Calibri" w:hAnsi="Calibri"/>
              </w:rPr>
              <w:t xml:space="preserve">sodium thiosulphate </w:t>
            </w:r>
            <w:r w:rsidR="00D20563">
              <w:rPr>
                <w:rFonts w:ascii="Calibri" w:hAnsi="Calibri"/>
              </w:rPr>
              <w:t xml:space="preserve">IV over </w:t>
            </w:r>
            <w:r w:rsidR="009E30D2">
              <w:rPr>
                <w:rFonts w:ascii="Calibri" w:hAnsi="Calibri"/>
              </w:rPr>
              <w:t xml:space="preserve">the last </w:t>
            </w:r>
            <w:r w:rsidR="00D20563">
              <w:rPr>
                <w:rFonts w:ascii="Calibri" w:hAnsi="Calibri"/>
              </w:rPr>
              <w:t>30 min</w:t>
            </w:r>
            <w:r>
              <w:rPr>
                <w:rFonts w:ascii="Calibri" w:hAnsi="Calibri"/>
              </w:rPr>
              <w:t>ute</w:t>
            </w:r>
            <w:r w:rsidR="00D20563">
              <w:rPr>
                <w:rFonts w:ascii="Calibri" w:hAnsi="Calibri"/>
              </w:rPr>
              <w:t xml:space="preserve">s </w:t>
            </w:r>
            <w:r w:rsidR="009E30D2">
              <w:rPr>
                <w:rFonts w:ascii="Calibri" w:hAnsi="Calibri"/>
              </w:rPr>
              <w:t>of dialysis</w:t>
            </w:r>
            <w:r w:rsidR="00A54BC3">
              <w:rPr>
                <w:rFonts w:ascii="Calibri" w:hAnsi="Calibri"/>
              </w:rPr>
              <w:t xml:space="preserve"> session</w:t>
            </w:r>
            <w:r w:rsidR="009E30D2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 w:rsidR="00A54BC3">
              <w:rPr>
                <w:rFonts w:ascii="Calibri" w:hAnsi="Calibri"/>
              </w:rPr>
              <w:t>To be administered neat in a 50ml syringe.</w:t>
            </w:r>
            <w:r>
              <w:rPr>
                <w:rFonts w:ascii="Calibri" w:hAnsi="Calibri"/>
              </w:rPr>
              <w:t xml:space="preserve"> Infuse into venous limb of dialysis circuit. </w:t>
            </w:r>
          </w:p>
          <w:p w14:paraId="264BB5A4" w14:textId="266C9342" w:rsidR="00A54BC3" w:rsidRDefault="00A54BC3" w:rsidP="00A54BC3">
            <w:pPr>
              <w:pStyle w:val="BlockText"/>
              <w:numPr>
                <w:ilvl w:val="0"/>
                <w:numId w:val="3"/>
              </w:numPr>
              <w:ind w:left="396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</w:t>
            </w:r>
            <w:r w:rsidR="009377F9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e syringe is empty, f</w:t>
            </w:r>
            <w:r w:rsidR="008D568E" w:rsidRPr="00A54BC3">
              <w:rPr>
                <w:rFonts w:ascii="Calibri" w:hAnsi="Calibri"/>
              </w:rPr>
              <w:t>lush giving set with 0.9% sodium chloride to ensure full dose is given.</w:t>
            </w:r>
          </w:p>
          <w:p w14:paraId="41842401" w14:textId="77777777" w:rsidR="00B13A0F" w:rsidRPr="00A54BC3" w:rsidRDefault="00B13A0F" w:rsidP="00A54BC3">
            <w:pPr>
              <w:pStyle w:val="BlockText"/>
              <w:numPr>
                <w:ilvl w:val="0"/>
                <w:numId w:val="3"/>
              </w:numPr>
              <w:ind w:left="396" w:right="-79"/>
              <w:rPr>
                <w:rFonts w:ascii="Calibri" w:hAnsi="Calibri"/>
              </w:rPr>
            </w:pPr>
            <w:r w:rsidRPr="00A54BC3">
              <w:rPr>
                <w:rFonts w:ascii="Calibri" w:hAnsi="Calibri"/>
              </w:rPr>
              <w:t>Monitor for side effects</w:t>
            </w:r>
            <w:r w:rsidR="008D568E" w:rsidRPr="00A54BC3">
              <w:rPr>
                <w:rFonts w:ascii="Calibri" w:hAnsi="Calibri"/>
              </w:rPr>
              <w:t xml:space="preserve"> (see below)</w:t>
            </w:r>
          </w:p>
          <w:p w14:paraId="05660286" w14:textId="77777777" w:rsidR="00B13A0F" w:rsidRDefault="00B13A0F" w:rsidP="009E30D2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357B7F16" w14:textId="77777777" w:rsidR="00D20563" w:rsidRDefault="00D20563" w:rsidP="009E30D2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SUBSEQUENT DOSES</w:t>
            </w:r>
          </w:p>
          <w:p w14:paraId="5DC72F81" w14:textId="77777777" w:rsidR="00A54BC3" w:rsidRDefault="0036517C" w:rsidP="00A54BC3">
            <w:pPr>
              <w:pStyle w:val="BlockText"/>
              <w:numPr>
                <w:ilvl w:val="0"/>
                <w:numId w:val="4"/>
              </w:numPr>
              <w:ind w:left="362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Pre-treat with ondans</w:t>
            </w:r>
            <w:r w:rsidR="00D642AD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tron 4mg IV 30 minutes prior to infusion.</w:t>
            </w:r>
          </w:p>
          <w:p w14:paraId="3D7650C3" w14:textId="77777777" w:rsidR="0036517C" w:rsidRPr="00A54BC3" w:rsidRDefault="00D20563" w:rsidP="00A54BC3">
            <w:pPr>
              <w:pStyle w:val="BlockText"/>
              <w:numPr>
                <w:ilvl w:val="0"/>
                <w:numId w:val="4"/>
              </w:numPr>
              <w:ind w:left="362" w:right="-79"/>
              <w:rPr>
                <w:rFonts w:ascii="Calibri" w:hAnsi="Calibri"/>
              </w:rPr>
            </w:pPr>
            <w:r w:rsidRPr="00A54BC3">
              <w:rPr>
                <w:rFonts w:ascii="Calibri" w:hAnsi="Calibri"/>
              </w:rPr>
              <w:t xml:space="preserve">Give </w:t>
            </w:r>
            <w:r w:rsidRPr="00A54BC3">
              <w:rPr>
                <w:rFonts w:ascii="Calibri" w:hAnsi="Calibri"/>
                <w:b/>
              </w:rPr>
              <w:t>25g</w:t>
            </w:r>
            <w:r w:rsidR="0036517C" w:rsidRPr="00A54BC3">
              <w:rPr>
                <w:rFonts w:ascii="Calibri" w:hAnsi="Calibri"/>
              </w:rPr>
              <w:t xml:space="preserve"> sodium thiosulphate I</w:t>
            </w:r>
            <w:r w:rsidRPr="00A54BC3">
              <w:rPr>
                <w:rFonts w:ascii="Calibri" w:hAnsi="Calibri"/>
              </w:rPr>
              <w:t xml:space="preserve">V over </w:t>
            </w:r>
            <w:r w:rsidR="009E30D2" w:rsidRPr="00A54BC3">
              <w:rPr>
                <w:rFonts w:ascii="Calibri" w:hAnsi="Calibri"/>
              </w:rPr>
              <w:t xml:space="preserve">the last </w:t>
            </w:r>
            <w:r w:rsidRPr="00A54BC3">
              <w:rPr>
                <w:rFonts w:ascii="Calibri" w:hAnsi="Calibri"/>
              </w:rPr>
              <w:t>60 m</w:t>
            </w:r>
            <w:r w:rsidR="00B13A0F" w:rsidRPr="00A54BC3">
              <w:rPr>
                <w:rFonts w:ascii="Calibri" w:hAnsi="Calibri"/>
              </w:rPr>
              <w:t>inutes</w:t>
            </w:r>
            <w:r w:rsidR="00972E28" w:rsidRPr="00A54BC3">
              <w:rPr>
                <w:rFonts w:ascii="Calibri" w:hAnsi="Calibri"/>
              </w:rPr>
              <w:t xml:space="preserve"> of each dialysis </w:t>
            </w:r>
            <w:r w:rsidR="00A54BC3">
              <w:rPr>
                <w:rFonts w:ascii="Calibri" w:hAnsi="Calibri"/>
              </w:rPr>
              <w:t>session.</w:t>
            </w:r>
          </w:p>
        </w:tc>
      </w:tr>
      <w:tr w:rsidR="005F044B" w:rsidRPr="00E12BDD" w14:paraId="335B354E" w14:textId="77777777" w:rsidTr="00926B78">
        <w:tc>
          <w:tcPr>
            <w:tcW w:w="30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2B3B" w14:textId="77777777" w:rsidR="005F044B" w:rsidRPr="00823D6C" w:rsidRDefault="00B13A0F" w:rsidP="00B8357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Side effects</w:t>
            </w:r>
          </w:p>
          <w:p w14:paraId="1B181D06" w14:textId="77777777" w:rsidR="005F044B" w:rsidRPr="00823D6C" w:rsidRDefault="005F044B" w:rsidP="00B8357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508" w:type="dxa"/>
            <w:tcMar>
              <w:top w:w="113" w:type="dxa"/>
              <w:left w:w="113" w:type="dxa"/>
              <w:bottom w:w="113" w:type="dxa"/>
              <w:right w:w="170" w:type="dxa"/>
            </w:tcMar>
          </w:tcPr>
          <w:p w14:paraId="071E3790" w14:textId="77777777" w:rsidR="00972E28" w:rsidRDefault="008D568E" w:rsidP="009E30D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 w:rsidRPr="0036517C">
              <w:rPr>
                <w:rFonts w:ascii="Calibri" w:hAnsi="Calibri" w:cs="Arial"/>
                <w:b/>
              </w:rPr>
              <w:t>Hypotension</w:t>
            </w:r>
            <w:r w:rsidR="00A54BC3">
              <w:rPr>
                <w:rFonts w:ascii="Calibri" w:hAnsi="Calibri" w:cs="Arial"/>
              </w:rPr>
              <w:t xml:space="preserve">: Usually only expected following rapid infusion of large doses and should be self-limiting. </w:t>
            </w:r>
          </w:p>
          <w:p w14:paraId="2D46549F" w14:textId="77777777" w:rsidR="00A54BC3" w:rsidRDefault="00A54BC3" w:rsidP="009E30D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7E293246" w14:textId="77777777" w:rsidR="008D568E" w:rsidRDefault="00D929B4" w:rsidP="00883F3E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Nausea </w:t>
            </w:r>
            <w:r w:rsidR="008D568E" w:rsidRPr="0036517C">
              <w:rPr>
                <w:rFonts w:ascii="Calibri" w:hAnsi="Calibri" w:cs="Arial"/>
                <w:b/>
              </w:rPr>
              <w:t>&amp; vomiting</w:t>
            </w:r>
            <w:r w:rsidR="00A54BC3">
              <w:rPr>
                <w:rFonts w:ascii="Calibri" w:hAnsi="Calibri" w:cs="Arial"/>
                <w:b/>
              </w:rPr>
              <w:t xml:space="preserve">: </w:t>
            </w:r>
            <w:r w:rsidR="00A54BC3" w:rsidRPr="00A54BC3">
              <w:rPr>
                <w:rFonts w:ascii="Calibri" w:hAnsi="Calibri" w:cs="Arial"/>
              </w:rPr>
              <w:t>Pre-treatment with</w:t>
            </w:r>
            <w:r w:rsidR="008D568E">
              <w:rPr>
                <w:rFonts w:ascii="Calibri" w:hAnsi="Calibri" w:cs="Arial"/>
              </w:rPr>
              <w:t xml:space="preserve"> ondansetron </w:t>
            </w:r>
            <w:r w:rsidR="0036517C">
              <w:rPr>
                <w:rFonts w:ascii="Calibri" w:hAnsi="Calibri" w:cs="Arial"/>
              </w:rPr>
              <w:t xml:space="preserve">as above.  </w:t>
            </w:r>
            <w:r w:rsidR="00883F3E">
              <w:rPr>
                <w:rFonts w:ascii="Calibri" w:hAnsi="Calibri" w:cs="Arial"/>
              </w:rPr>
              <w:t>Persistent</w:t>
            </w:r>
            <w:r w:rsidR="009E30D2">
              <w:rPr>
                <w:rFonts w:ascii="Calibri" w:hAnsi="Calibri" w:cs="Arial"/>
              </w:rPr>
              <w:t xml:space="preserve"> nausea may require </w:t>
            </w:r>
            <w:r w:rsidR="00082BBD">
              <w:rPr>
                <w:rFonts w:ascii="Calibri" w:hAnsi="Calibri" w:cs="Arial"/>
              </w:rPr>
              <w:t>infusion being given over a longer period of time (e.g. over full dialysis session) or dose reduction.</w:t>
            </w:r>
          </w:p>
          <w:p w14:paraId="0D7A9175" w14:textId="77777777" w:rsidR="00082BBD" w:rsidRDefault="00082BBD" w:rsidP="009E30D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22AE9E1" w14:textId="77777777" w:rsidR="009E30D2" w:rsidRPr="00823D6C" w:rsidRDefault="009E30D2" w:rsidP="00A54BC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 reported side effects (from case reports):</w:t>
            </w:r>
            <w:r w:rsidR="00A54BC3">
              <w:rPr>
                <w:rFonts w:ascii="Calibri" w:hAnsi="Calibri" w:cs="Arial"/>
              </w:rPr>
              <w:t xml:space="preserve"> </w:t>
            </w:r>
            <w:r w:rsidR="00B83570">
              <w:rPr>
                <w:rFonts w:ascii="Calibri" w:hAnsi="Calibri" w:cs="Arial"/>
              </w:rPr>
              <w:t>m</w:t>
            </w:r>
            <w:r>
              <w:rPr>
                <w:rFonts w:ascii="Calibri" w:hAnsi="Calibri" w:cs="Arial"/>
              </w:rPr>
              <w:t>etabolic acidosis (correct</w:t>
            </w:r>
            <w:r w:rsidR="00A54BC3">
              <w:rPr>
                <w:rFonts w:ascii="Calibri" w:hAnsi="Calibri" w:cs="Arial"/>
              </w:rPr>
              <w:t>ed</w:t>
            </w:r>
            <w:r>
              <w:rPr>
                <w:rFonts w:ascii="Calibri" w:hAnsi="Calibri" w:cs="Arial"/>
              </w:rPr>
              <w:t xml:space="preserve"> on dialysis)</w:t>
            </w:r>
            <w:r w:rsidR="0036517C">
              <w:rPr>
                <w:rFonts w:ascii="Calibri" w:hAnsi="Calibri" w:cs="Arial"/>
              </w:rPr>
              <w:t xml:space="preserve">, </w:t>
            </w:r>
            <w:r w:rsidR="00A54BC3">
              <w:rPr>
                <w:rFonts w:ascii="Calibri" w:hAnsi="Calibri" w:cs="Arial"/>
              </w:rPr>
              <w:t>s</w:t>
            </w:r>
            <w:r>
              <w:rPr>
                <w:rFonts w:ascii="Calibri" w:hAnsi="Calibri" w:cs="Arial"/>
              </w:rPr>
              <w:t>inus congestion</w:t>
            </w:r>
            <w:r w:rsidR="00A54BC3">
              <w:rPr>
                <w:rFonts w:ascii="Calibri" w:hAnsi="Calibri" w:cs="Arial"/>
              </w:rPr>
              <w:t>, h</w:t>
            </w:r>
            <w:r>
              <w:rPr>
                <w:rFonts w:ascii="Calibri" w:hAnsi="Calibri" w:cs="Arial"/>
              </w:rPr>
              <w:t>eadache</w:t>
            </w:r>
            <w:r w:rsidR="00B83570">
              <w:rPr>
                <w:rFonts w:ascii="Calibri" w:hAnsi="Calibri" w:cs="Arial"/>
              </w:rPr>
              <w:t>, disorientation, prolonged bleeding time</w:t>
            </w:r>
            <w:r w:rsidR="00A54BC3">
              <w:rPr>
                <w:rFonts w:ascii="Calibri" w:hAnsi="Calibri" w:cs="Arial"/>
              </w:rPr>
              <w:t>.</w:t>
            </w:r>
          </w:p>
        </w:tc>
      </w:tr>
      <w:tr w:rsidR="005F044B" w:rsidRPr="00E12BDD" w14:paraId="4D83990B" w14:textId="77777777" w:rsidTr="00926B78">
        <w:tc>
          <w:tcPr>
            <w:tcW w:w="30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8BFA3" w14:textId="77777777" w:rsidR="005F044B" w:rsidRPr="00823D6C" w:rsidRDefault="005F044B" w:rsidP="00B83570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Reconstitution instructions</w:t>
            </w:r>
          </w:p>
        </w:tc>
        <w:tc>
          <w:tcPr>
            <w:tcW w:w="7508" w:type="dxa"/>
            <w:tcMar>
              <w:top w:w="113" w:type="dxa"/>
              <w:left w:w="113" w:type="dxa"/>
              <w:bottom w:w="113" w:type="dxa"/>
              <w:right w:w="170" w:type="dxa"/>
            </w:tcMar>
          </w:tcPr>
          <w:p w14:paraId="497CA2EF" w14:textId="77777777" w:rsidR="00757560" w:rsidRPr="00823D6C" w:rsidRDefault="009E30D2" w:rsidP="00435BBF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reconstitution necessary</w:t>
            </w:r>
          </w:p>
        </w:tc>
      </w:tr>
      <w:tr w:rsidR="005F044B" w:rsidRPr="00E12BDD" w14:paraId="3838D7DB" w14:textId="77777777" w:rsidTr="00926B78">
        <w:tc>
          <w:tcPr>
            <w:tcW w:w="30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931C41" w14:textId="77777777" w:rsidR="005F044B" w:rsidRPr="00823D6C" w:rsidRDefault="005F044B" w:rsidP="00B83570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7508" w:type="dxa"/>
            <w:tcMar>
              <w:top w:w="113" w:type="dxa"/>
              <w:left w:w="113" w:type="dxa"/>
              <w:bottom w:w="113" w:type="dxa"/>
              <w:right w:w="170" w:type="dxa"/>
            </w:tcMar>
          </w:tcPr>
          <w:p w14:paraId="42AFBA9C" w14:textId="77777777" w:rsidR="009E30D2" w:rsidRDefault="009E30D2" w:rsidP="00B13A0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Continue course indefinitely </w:t>
            </w:r>
            <w:r w:rsidR="00A54BC3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 xml:space="preserve"> according to response</w:t>
            </w:r>
            <w:r w:rsidR="00972E28">
              <w:rPr>
                <w:rFonts w:ascii="Calibri" w:hAnsi="Calibri" w:cs="Arial"/>
              </w:rPr>
              <w:t>.</w:t>
            </w:r>
          </w:p>
          <w:p w14:paraId="6A96DA12" w14:textId="77777777" w:rsidR="00757560" w:rsidRPr="009E30D2" w:rsidRDefault="009E30D2" w:rsidP="0075756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dose adjustment required for renal or hepatic impairment.</w:t>
            </w:r>
          </w:p>
        </w:tc>
      </w:tr>
      <w:tr w:rsidR="009E30D2" w:rsidRPr="008D568E" w14:paraId="1B524083" w14:textId="77777777" w:rsidTr="00926B7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DB4F0" w14:textId="77777777" w:rsidR="009E30D2" w:rsidRPr="00823D6C" w:rsidRDefault="009E30D2" w:rsidP="00B83570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Concentration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70" w:type="dxa"/>
            </w:tcMar>
          </w:tcPr>
          <w:p w14:paraId="43D346DC" w14:textId="77777777" w:rsidR="00757560" w:rsidRPr="00757560" w:rsidRDefault="009E30D2" w:rsidP="00757560">
            <w:pPr>
              <w:rPr>
                <w:rFonts w:ascii="Calibri" w:hAnsi="Calibri" w:cs="Arial"/>
              </w:rPr>
            </w:pPr>
            <w:r w:rsidRPr="00757560">
              <w:rPr>
                <w:rFonts w:ascii="Calibri" w:hAnsi="Calibri" w:cs="Arial"/>
              </w:rPr>
              <w:t xml:space="preserve">Sodium thiosulphate 50% </w:t>
            </w:r>
            <w:r w:rsidR="00757560" w:rsidRPr="00757560">
              <w:rPr>
                <w:rFonts w:ascii="Calibri" w:hAnsi="Calibri" w:cs="Arial"/>
              </w:rPr>
              <w:t xml:space="preserve">(12.5g in 50mls) </w:t>
            </w:r>
          </w:p>
        </w:tc>
      </w:tr>
      <w:tr w:rsidR="00082BBD" w:rsidRPr="008D568E" w14:paraId="734CF46F" w14:textId="77777777" w:rsidTr="00926B7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1AC38" w14:textId="77777777" w:rsidR="00082BBD" w:rsidRPr="00082BBD" w:rsidRDefault="00082BBD" w:rsidP="00B8357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Monitoring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70" w:type="dxa"/>
            </w:tcMar>
          </w:tcPr>
          <w:p w14:paraId="32B8B6E3" w14:textId="77777777" w:rsidR="00082BBD" w:rsidRPr="00082BBD" w:rsidRDefault="00082BBD" w:rsidP="00A2333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Continual blood pressure monitoring throughout test dose </w:t>
            </w:r>
            <w:r w:rsidR="00D929B4">
              <w:rPr>
                <w:rFonts w:ascii="Calibri" w:hAnsi="Calibri" w:cs="Arial"/>
              </w:rPr>
              <w:t xml:space="preserve">(12.5g) </w:t>
            </w:r>
            <w:r>
              <w:rPr>
                <w:rFonts w:ascii="Calibri" w:hAnsi="Calibri" w:cs="Arial"/>
              </w:rPr>
              <w:t>and first full dose</w:t>
            </w:r>
            <w:r w:rsidR="00D929B4">
              <w:rPr>
                <w:rFonts w:ascii="Calibri" w:hAnsi="Calibri" w:cs="Arial"/>
              </w:rPr>
              <w:t xml:space="preserve"> (25g). Frequency of monitoring can be reduced if BP remains stable. </w:t>
            </w:r>
            <w:r w:rsidR="00A23331">
              <w:rPr>
                <w:rFonts w:ascii="Calibri" w:hAnsi="Calibri" w:cs="Arial"/>
              </w:rPr>
              <w:t xml:space="preserve"> </w:t>
            </w:r>
            <w:r w:rsidR="00D929B4">
              <w:rPr>
                <w:rFonts w:ascii="Calibri" w:hAnsi="Calibri" w:cs="Arial"/>
              </w:rPr>
              <w:t xml:space="preserve">U&amp;Es, </w:t>
            </w:r>
            <w:r w:rsidR="00972E28">
              <w:rPr>
                <w:rFonts w:ascii="Calibri" w:hAnsi="Calibri" w:cs="Arial"/>
              </w:rPr>
              <w:t xml:space="preserve">calcium and </w:t>
            </w:r>
            <w:r>
              <w:rPr>
                <w:rFonts w:ascii="Calibri" w:hAnsi="Calibri" w:cs="Arial"/>
              </w:rPr>
              <w:t>phosphate</w:t>
            </w:r>
            <w:r w:rsidR="00D929B4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- before 1</w:t>
            </w:r>
            <w:r w:rsidRPr="00082BBD">
              <w:rPr>
                <w:rFonts w:ascii="Calibri" w:hAnsi="Calibri" w:cs="Arial"/>
                <w:vertAlign w:val="superscript"/>
              </w:rPr>
              <w:t>st</w:t>
            </w:r>
            <w:r>
              <w:rPr>
                <w:rFonts w:ascii="Calibri" w:hAnsi="Calibri" w:cs="Arial"/>
              </w:rPr>
              <w:t xml:space="preserve"> and 2</w:t>
            </w:r>
            <w:r w:rsidRPr="00082BBD">
              <w:rPr>
                <w:rFonts w:ascii="Calibri" w:hAnsi="Calibri" w:cs="Arial"/>
                <w:vertAlign w:val="superscript"/>
              </w:rPr>
              <w:t>nd</w:t>
            </w:r>
            <w:r>
              <w:rPr>
                <w:rFonts w:ascii="Calibri" w:hAnsi="Calibri" w:cs="Arial"/>
              </w:rPr>
              <w:t xml:space="preserve"> doses, weekly thereafter.</w:t>
            </w:r>
            <w:r w:rsidR="00D929B4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PTH</w:t>
            </w:r>
            <w:r w:rsidR="00D929B4">
              <w:rPr>
                <w:rFonts w:ascii="Calibri" w:hAnsi="Calibri" w:cs="Arial"/>
              </w:rPr>
              <w:t xml:space="preserve"> </w:t>
            </w:r>
            <w:r w:rsidR="00A23331">
              <w:rPr>
                <w:rFonts w:ascii="Calibri" w:hAnsi="Calibri" w:cs="Arial"/>
              </w:rPr>
              <w:t>–</w:t>
            </w:r>
            <w:r>
              <w:rPr>
                <w:rFonts w:ascii="Calibri" w:hAnsi="Calibri" w:cs="Arial"/>
              </w:rPr>
              <w:t xml:space="preserve"> monthly</w:t>
            </w:r>
            <w:r w:rsidR="00A23331">
              <w:rPr>
                <w:rFonts w:ascii="Calibri" w:hAnsi="Calibri" w:cs="Arial"/>
              </w:rPr>
              <w:t xml:space="preserve">.  </w:t>
            </w:r>
          </w:p>
        </w:tc>
      </w:tr>
    </w:tbl>
    <w:p w14:paraId="6A4A3B96" w14:textId="77777777"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A54BC3">
      <w:footerReference w:type="default" r:id="rId8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CD57" w14:textId="77777777" w:rsidR="00926B78" w:rsidRDefault="00926B78">
      <w:r>
        <w:separator/>
      </w:r>
    </w:p>
  </w:endnote>
  <w:endnote w:type="continuationSeparator" w:id="0">
    <w:p w14:paraId="634269D8" w14:textId="77777777" w:rsidR="00926B78" w:rsidRDefault="0092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F625" w14:textId="77777777" w:rsidR="00926B78" w:rsidRDefault="00926B78" w:rsidP="00F80228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Written by: Sarah MacInnes, Renal</w:t>
    </w:r>
    <w:r w:rsidRPr="00F80228">
      <w:rPr>
        <w:rFonts w:ascii="Calibri" w:hAnsi="Calibri"/>
        <w:i/>
        <w:sz w:val="20"/>
        <w:szCs w:val="20"/>
      </w:rPr>
      <w:t xml:space="preserve"> Pharmacist</w:t>
    </w:r>
  </w:p>
  <w:p w14:paraId="442694D3" w14:textId="14597BD8" w:rsidR="00926B78" w:rsidRDefault="00926B78" w:rsidP="00F80228">
    <w:pPr>
      <w:pStyle w:val="Footer"/>
      <w:jc w:val="right"/>
      <w:rPr>
        <w:rFonts w:ascii="Calibri" w:hAnsi="Calibri"/>
        <w:i/>
        <w:sz w:val="20"/>
        <w:szCs w:val="20"/>
      </w:rPr>
    </w:pPr>
    <w:r w:rsidRPr="00F80228">
      <w:rPr>
        <w:rFonts w:ascii="Calibri" w:hAnsi="Calibri"/>
        <w:i/>
        <w:sz w:val="20"/>
        <w:szCs w:val="20"/>
      </w:rPr>
      <w:t>Reviewed by</w:t>
    </w:r>
    <w:r>
      <w:rPr>
        <w:rFonts w:ascii="Calibri" w:hAnsi="Calibri"/>
        <w:i/>
        <w:sz w:val="20"/>
        <w:szCs w:val="20"/>
      </w:rPr>
      <w:t xml:space="preserve">: </w:t>
    </w:r>
    <w:r w:rsidR="009377F9">
      <w:rPr>
        <w:rFonts w:ascii="Calibri" w:hAnsi="Calibri"/>
        <w:i/>
        <w:sz w:val="20"/>
        <w:szCs w:val="20"/>
      </w:rPr>
      <w:t>Rob Hunter</w:t>
    </w:r>
    <w:r>
      <w:rPr>
        <w:rFonts w:ascii="Calibri" w:hAnsi="Calibri"/>
        <w:i/>
        <w:sz w:val="20"/>
        <w:szCs w:val="20"/>
      </w:rPr>
      <w:t xml:space="preserve">, </w:t>
    </w:r>
    <w:r w:rsidR="009377F9">
      <w:rPr>
        <w:rFonts w:ascii="Calibri" w:hAnsi="Calibri"/>
        <w:i/>
        <w:sz w:val="20"/>
        <w:szCs w:val="20"/>
      </w:rPr>
      <w:t>Nephrologist</w:t>
    </w:r>
    <w:r w:rsidR="00883F3E">
      <w:rPr>
        <w:rFonts w:ascii="Calibri" w:hAnsi="Calibri"/>
        <w:i/>
        <w:sz w:val="20"/>
        <w:szCs w:val="20"/>
      </w:rPr>
      <w:t xml:space="preserve">; </w:t>
    </w:r>
    <w:r>
      <w:rPr>
        <w:rFonts w:ascii="Calibri" w:hAnsi="Calibri"/>
        <w:i/>
        <w:sz w:val="20"/>
        <w:szCs w:val="20"/>
      </w:rPr>
      <w:t>Maggie Davidson, Renal Pharmacist</w:t>
    </w:r>
  </w:p>
  <w:p w14:paraId="17284303" w14:textId="7DD9BA90" w:rsidR="00926B78" w:rsidRDefault="00926B78" w:rsidP="00F80228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Last reviewed: </w:t>
    </w:r>
    <w:r w:rsidR="009377F9">
      <w:rPr>
        <w:rFonts w:ascii="Calibri" w:hAnsi="Calibri"/>
        <w:i/>
        <w:sz w:val="20"/>
        <w:szCs w:val="20"/>
      </w:rPr>
      <w:t>Mar</w:t>
    </w:r>
    <w:r>
      <w:rPr>
        <w:rFonts w:ascii="Calibri" w:hAnsi="Calibri"/>
        <w:i/>
        <w:sz w:val="20"/>
        <w:szCs w:val="20"/>
      </w:rPr>
      <w:t xml:space="preserve"> 202</w:t>
    </w:r>
    <w:r w:rsidR="009377F9">
      <w:rPr>
        <w:rFonts w:ascii="Calibri" w:hAnsi="Calibri"/>
        <w:i/>
        <w:sz w:val="20"/>
        <w:szCs w:val="20"/>
      </w:rPr>
      <w:t>6</w:t>
    </w:r>
  </w:p>
  <w:p w14:paraId="7E9F9431" w14:textId="2A355B03" w:rsidR="00926B78" w:rsidRDefault="00926B78" w:rsidP="00F80228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Next review date: </w:t>
    </w:r>
    <w:r w:rsidR="009377F9">
      <w:rPr>
        <w:rFonts w:ascii="Calibri" w:hAnsi="Calibri"/>
        <w:i/>
        <w:sz w:val="20"/>
        <w:szCs w:val="20"/>
      </w:rPr>
      <w:t>Mar</w:t>
    </w:r>
    <w:r>
      <w:rPr>
        <w:rFonts w:ascii="Calibri" w:hAnsi="Calibri"/>
        <w:i/>
        <w:sz w:val="20"/>
        <w:szCs w:val="20"/>
      </w:rPr>
      <w:t xml:space="preserve"> 202</w:t>
    </w:r>
    <w:r w:rsidR="009377F9">
      <w:rPr>
        <w:rFonts w:ascii="Calibri" w:hAnsi="Calibri"/>
        <w:i/>
        <w:sz w:val="20"/>
        <w:szCs w:val="20"/>
      </w:rPr>
      <w:t>9</w:t>
    </w:r>
  </w:p>
  <w:p w14:paraId="4B050E4A" w14:textId="77777777" w:rsidR="00926B78" w:rsidRPr="00F80228" w:rsidRDefault="00926B78" w:rsidP="00265B19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Adapted from protocols of the following NHS trusts: Manchester, Leicester, Royal Free and NHS A&amp;A</w:t>
    </w:r>
  </w:p>
  <w:p w14:paraId="1C021BB4" w14:textId="77777777" w:rsidR="00926B78" w:rsidRDefault="00926B78" w:rsidP="00F80228">
    <w:pPr>
      <w:pStyle w:val="Footer"/>
      <w:jc w:val="right"/>
      <w:rPr>
        <w:rFonts w:ascii="Calibri" w:hAnsi="Calibri"/>
        <w:i/>
        <w:sz w:val="20"/>
        <w:szCs w:val="20"/>
      </w:rPr>
    </w:pPr>
  </w:p>
  <w:p w14:paraId="17ED94AC" w14:textId="77777777" w:rsidR="00A23331" w:rsidRPr="003141D2" w:rsidRDefault="00A23331" w:rsidP="00A23331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 w:rsidR="009377F9">
      <w:rPr>
        <w:rFonts w:ascii="Calibri" w:hAnsi="Calibri"/>
        <w:i/>
        <w:noProof/>
        <w:sz w:val="16"/>
        <w:szCs w:val="16"/>
      </w:rPr>
      <w:t>18 March 2026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  <w:p w14:paraId="106D3A84" w14:textId="77777777" w:rsidR="00A23331" w:rsidRPr="00F80228" w:rsidRDefault="00A23331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B051" w14:textId="77777777" w:rsidR="00926B78" w:rsidRDefault="00926B78">
      <w:r>
        <w:separator/>
      </w:r>
    </w:p>
  </w:footnote>
  <w:footnote w:type="continuationSeparator" w:id="0">
    <w:p w14:paraId="235E918C" w14:textId="77777777" w:rsidR="00926B78" w:rsidRDefault="0092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906F17"/>
    <w:multiLevelType w:val="hybridMultilevel"/>
    <w:tmpl w:val="34B2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0783E"/>
    <w:multiLevelType w:val="hybridMultilevel"/>
    <w:tmpl w:val="BACA7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5566">
    <w:abstractNumId w:val="1"/>
  </w:num>
  <w:num w:numId="2" w16cid:durableId="195391741">
    <w:abstractNumId w:val="0"/>
  </w:num>
  <w:num w:numId="3" w16cid:durableId="21129971">
    <w:abstractNumId w:val="2"/>
  </w:num>
  <w:num w:numId="4" w16cid:durableId="520435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82BBD"/>
    <w:rsid w:val="000C15F1"/>
    <w:rsid w:val="000E6548"/>
    <w:rsid w:val="000E6E80"/>
    <w:rsid w:val="00162578"/>
    <w:rsid w:val="00190C0E"/>
    <w:rsid w:val="001A0FE3"/>
    <w:rsid w:val="00202975"/>
    <w:rsid w:val="00265B19"/>
    <w:rsid w:val="00286AA7"/>
    <w:rsid w:val="00293B7B"/>
    <w:rsid w:val="002A1B2B"/>
    <w:rsid w:val="002D460B"/>
    <w:rsid w:val="003407C5"/>
    <w:rsid w:val="00342D85"/>
    <w:rsid w:val="00350B93"/>
    <w:rsid w:val="0035107A"/>
    <w:rsid w:val="0036517C"/>
    <w:rsid w:val="003B4A19"/>
    <w:rsid w:val="004079B5"/>
    <w:rsid w:val="00435BBF"/>
    <w:rsid w:val="00462756"/>
    <w:rsid w:val="004E6F1D"/>
    <w:rsid w:val="00586639"/>
    <w:rsid w:val="005B056B"/>
    <w:rsid w:val="005B6146"/>
    <w:rsid w:val="005C698A"/>
    <w:rsid w:val="005F044B"/>
    <w:rsid w:val="00615CF2"/>
    <w:rsid w:val="0062055E"/>
    <w:rsid w:val="00665703"/>
    <w:rsid w:val="00743E14"/>
    <w:rsid w:val="00757560"/>
    <w:rsid w:val="007A7E70"/>
    <w:rsid w:val="007E270E"/>
    <w:rsid w:val="00823D6C"/>
    <w:rsid w:val="00870C3D"/>
    <w:rsid w:val="00883F3E"/>
    <w:rsid w:val="008A6538"/>
    <w:rsid w:val="008C2429"/>
    <w:rsid w:val="008C7A93"/>
    <w:rsid w:val="008C7B2E"/>
    <w:rsid w:val="008D568E"/>
    <w:rsid w:val="008E09CB"/>
    <w:rsid w:val="009007B7"/>
    <w:rsid w:val="00926B78"/>
    <w:rsid w:val="009377F9"/>
    <w:rsid w:val="00972E28"/>
    <w:rsid w:val="009E3084"/>
    <w:rsid w:val="009E30D2"/>
    <w:rsid w:val="00A23331"/>
    <w:rsid w:val="00A4303E"/>
    <w:rsid w:val="00A45071"/>
    <w:rsid w:val="00A54BC3"/>
    <w:rsid w:val="00A71505"/>
    <w:rsid w:val="00A72070"/>
    <w:rsid w:val="00A85095"/>
    <w:rsid w:val="00AB5799"/>
    <w:rsid w:val="00B13A0F"/>
    <w:rsid w:val="00B62256"/>
    <w:rsid w:val="00B83570"/>
    <w:rsid w:val="00B85BAC"/>
    <w:rsid w:val="00BA2823"/>
    <w:rsid w:val="00BF70E6"/>
    <w:rsid w:val="00CB5503"/>
    <w:rsid w:val="00CE4E83"/>
    <w:rsid w:val="00D20563"/>
    <w:rsid w:val="00D642AD"/>
    <w:rsid w:val="00D84F7B"/>
    <w:rsid w:val="00D929B4"/>
    <w:rsid w:val="00E00A75"/>
    <w:rsid w:val="00E12BDD"/>
    <w:rsid w:val="00E35485"/>
    <w:rsid w:val="00E565BF"/>
    <w:rsid w:val="00E5750E"/>
    <w:rsid w:val="00E6232B"/>
    <w:rsid w:val="00EB1224"/>
    <w:rsid w:val="00ED237E"/>
    <w:rsid w:val="00EE45BC"/>
    <w:rsid w:val="00F80228"/>
    <w:rsid w:val="00FA3A96"/>
    <w:rsid w:val="00F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164B2B90"/>
  <w15:docId w15:val="{3E5D4682-1DEE-4B6D-BCF4-2BAB7EE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A23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10</cp:revision>
  <cp:lastPrinted>2017-05-31T17:21:00Z</cp:lastPrinted>
  <dcterms:created xsi:type="dcterms:W3CDTF">2019-02-28T14:48:00Z</dcterms:created>
  <dcterms:modified xsi:type="dcterms:W3CDTF">2026-03-18T11:49:00Z</dcterms:modified>
</cp:coreProperties>
</file>