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88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4"/>
      </w:tblGrid>
      <w:tr w:rsidR="005F044B" w14:paraId="53D9809D" w14:textId="77777777" w:rsidTr="00972E28">
        <w:trPr>
          <w:trHeight w:val="1258"/>
        </w:trPr>
        <w:tc>
          <w:tcPr>
            <w:tcW w:w="8894" w:type="dxa"/>
          </w:tcPr>
          <w:p w14:paraId="1281B71E" w14:textId="77777777" w:rsidR="005F044B" w:rsidRDefault="00160F26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B59E37B" wp14:editId="6278A3D6">
                  <wp:simplePos x="0" y="0"/>
                  <wp:positionH relativeFrom="column">
                    <wp:posOffset>4703097</wp:posOffset>
                  </wp:positionH>
                  <wp:positionV relativeFrom="paragraph">
                    <wp:posOffset>164</wp:posOffset>
                  </wp:positionV>
                  <wp:extent cx="876300" cy="690245"/>
                  <wp:effectExtent l="19050" t="0" r="0" b="0"/>
                  <wp:wrapTight wrapText="bothSides">
                    <wp:wrapPolygon edited="0">
                      <wp:start x="-470" y="0"/>
                      <wp:lineTo x="-470" y="20865"/>
                      <wp:lineTo x="21600" y="20865"/>
                      <wp:lineTo x="21600" y="0"/>
                      <wp:lineTo x="-47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044B"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155AB4DF" w14:textId="77777777" w:rsidR="005F044B" w:rsidRPr="00972E28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5A27EA50" w14:textId="2E2F2216" w:rsidR="005F044B" w:rsidRDefault="001B6582" w:rsidP="00972E28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Sodium Zirconium Cyclosilicate</w:t>
      </w:r>
      <w:r w:rsidR="00D7277C">
        <w:rPr>
          <w:rFonts w:ascii="Calibri" w:hAnsi="Calibri" w:cs="Arial"/>
          <w:b/>
          <w:sz w:val="32"/>
          <w:szCs w:val="32"/>
        </w:rPr>
        <w:t xml:space="preserve"> (</w:t>
      </w:r>
      <w:proofErr w:type="spellStart"/>
      <w:r w:rsidR="00D7277C">
        <w:rPr>
          <w:rFonts w:ascii="Calibri" w:hAnsi="Calibri" w:cs="Arial"/>
          <w:b/>
          <w:sz w:val="32"/>
          <w:szCs w:val="32"/>
        </w:rPr>
        <w:t>Lokelma</w:t>
      </w:r>
      <w:proofErr w:type="spellEnd"/>
      <w:r w:rsidR="00D7277C">
        <w:rPr>
          <w:rFonts w:ascii="Calibri" w:hAnsi="Calibri" w:cs="Arial"/>
          <w:b/>
          <w:sz w:val="32"/>
          <w:szCs w:val="32"/>
        </w:rPr>
        <w:t>®)</w:t>
      </w:r>
      <w:r w:rsidR="00A95C43">
        <w:rPr>
          <w:rFonts w:ascii="Calibri" w:hAnsi="Calibri" w:cs="Arial"/>
          <w:b/>
          <w:sz w:val="32"/>
          <w:szCs w:val="32"/>
        </w:rPr>
        <w:t xml:space="preserve"> – ACUTE USE</w:t>
      </w:r>
    </w:p>
    <w:p w14:paraId="4854F2C0" w14:textId="77777777" w:rsidR="00A04FB3" w:rsidRPr="00265B19" w:rsidRDefault="00A04FB3" w:rsidP="00972E28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229"/>
      </w:tblGrid>
      <w:tr w:rsidR="00753EE1" w:rsidRPr="00E12BDD" w14:paraId="6C6EAAEA" w14:textId="77777777" w:rsidTr="002C4529">
        <w:tc>
          <w:tcPr>
            <w:tcW w:w="2694" w:type="dxa"/>
          </w:tcPr>
          <w:p w14:paraId="7DF19AF8" w14:textId="77777777" w:rsidR="00753EE1" w:rsidRPr="00823D6C" w:rsidRDefault="00753EE1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  <w:r>
              <w:rPr>
                <w:rFonts w:ascii="Calibri" w:hAnsi="Calibri" w:cs="Arial"/>
                <w:b/>
              </w:rPr>
              <w:t xml:space="preserve"> and additional Information</w:t>
            </w:r>
          </w:p>
        </w:tc>
        <w:tc>
          <w:tcPr>
            <w:tcW w:w="7229" w:type="dxa"/>
          </w:tcPr>
          <w:p w14:paraId="2923B5AA" w14:textId="4D821B9F" w:rsidR="00753EE1" w:rsidRDefault="001909E6" w:rsidP="00BD2467">
            <w:pPr>
              <w:pStyle w:val="BlockText"/>
              <w:ind w:left="0" w:right="-79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 w:cs="Arial"/>
                <w:lang w:val="en-US"/>
              </w:rPr>
              <w:t>Sodium zirconium cyclosilicate (</w:t>
            </w:r>
            <w:proofErr w:type="spellStart"/>
            <w:r w:rsidR="002417A0" w:rsidRPr="002417A0">
              <w:rPr>
                <w:rFonts w:ascii="Calibri" w:hAnsi="Calibri"/>
                <w:bCs/>
                <w:iCs/>
              </w:rPr>
              <w:t>Lokelma</w:t>
            </w:r>
            <w:proofErr w:type="spellEnd"/>
            <w:r w:rsidR="002417A0" w:rsidRPr="002417A0">
              <w:rPr>
                <w:rFonts w:ascii="Calibri" w:hAnsi="Calibri"/>
                <w:b/>
                <w:bCs/>
                <w:iCs/>
              </w:rPr>
              <w:t>®</w:t>
            </w:r>
            <w:r w:rsidRPr="001909E6">
              <w:rPr>
                <w:rFonts w:ascii="Calibri" w:hAnsi="Calibri"/>
                <w:iCs/>
              </w:rPr>
              <w:t>)</w:t>
            </w:r>
            <w:r w:rsidR="002417A0" w:rsidRPr="002417A0">
              <w:rPr>
                <w:rFonts w:ascii="Calibri" w:hAnsi="Calibri"/>
                <w:bCs/>
                <w:iCs/>
              </w:rPr>
              <w:t xml:space="preserve"> </w:t>
            </w:r>
            <w:r w:rsidR="002417A0">
              <w:rPr>
                <w:rFonts w:ascii="Calibri" w:hAnsi="Calibri"/>
                <w:bCs/>
                <w:iCs/>
              </w:rPr>
              <w:t xml:space="preserve">is </w:t>
            </w:r>
            <w:r w:rsidR="002417A0" w:rsidRPr="002417A0">
              <w:rPr>
                <w:rFonts w:ascii="Calibri" w:hAnsi="Calibri"/>
                <w:bCs/>
                <w:iCs/>
              </w:rPr>
              <w:t>a cation exchange resin that binds potassium in the gut for excretion</w:t>
            </w:r>
            <w:r w:rsidR="002417A0">
              <w:rPr>
                <w:rFonts w:ascii="Calibri" w:hAnsi="Calibri"/>
                <w:bCs/>
                <w:iCs/>
              </w:rPr>
              <w:t xml:space="preserve"> thus lowering </w:t>
            </w:r>
            <w:r w:rsidR="00270525">
              <w:rPr>
                <w:rFonts w:ascii="Calibri" w:hAnsi="Calibri"/>
                <w:bCs/>
                <w:iCs/>
              </w:rPr>
              <w:t xml:space="preserve">the </w:t>
            </w:r>
            <w:r w:rsidR="002417A0">
              <w:rPr>
                <w:rFonts w:ascii="Calibri" w:hAnsi="Calibri"/>
                <w:bCs/>
                <w:iCs/>
              </w:rPr>
              <w:t>serum potassium</w:t>
            </w:r>
            <w:r w:rsidR="00270525">
              <w:rPr>
                <w:rFonts w:ascii="Calibri" w:hAnsi="Calibri"/>
                <w:bCs/>
                <w:iCs/>
              </w:rPr>
              <w:t xml:space="preserve"> concentration. It is approved by NICE and the SMC </w:t>
            </w:r>
            <w:r w:rsidR="00270525" w:rsidRPr="00270525">
              <w:rPr>
                <w:rFonts w:ascii="Calibri" w:hAnsi="Calibri"/>
                <w:bCs/>
                <w:iCs/>
              </w:rPr>
              <w:t>in the emergency care setting for the treatment of acute, life-threatening hyperkalaemia alongside standard care.</w:t>
            </w:r>
          </w:p>
          <w:p w14:paraId="4746CA57" w14:textId="77777777" w:rsidR="001909E6" w:rsidRDefault="001909E6" w:rsidP="00BD2467">
            <w:pPr>
              <w:pStyle w:val="BlockText"/>
              <w:ind w:left="0" w:right="-79"/>
              <w:rPr>
                <w:rFonts w:ascii="Calibri" w:hAnsi="Calibri"/>
                <w:bCs/>
                <w:iCs/>
              </w:rPr>
            </w:pPr>
          </w:p>
          <w:p w14:paraId="3B21B5C2" w14:textId="16AFF89F" w:rsidR="001909E6" w:rsidRDefault="001909E6" w:rsidP="00BD2467">
            <w:pPr>
              <w:pStyle w:val="BlockText"/>
              <w:ind w:left="0" w:right="-79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See </w:t>
            </w:r>
            <w:hyperlink r:id="rId8" w:history="1">
              <w:r w:rsidRPr="002C4529">
                <w:rPr>
                  <w:rStyle w:val="Hyperlink"/>
                  <w:rFonts w:ascii="Calibri" w:hAnsi="Calibri"/>
                  <w:bCs/>
                  <w:iCs/>
                </w:rPr>
                <w:t>‘Management of hyperkalaemia in adults in hospital’</w:t>
              </w:r>
            </w:hyperlink>
            <w:r>
              <w:rPr>
                <w:rFonts w:ascii="Calibri" w:hAnsi="Calibri"/>
                <w:bCs/>
                <w:iCs/>
              </w:rPr>
              <w:t>.</w:t>
            </w:r>
          </w:p>
          <w:p w14:paraId="1B2EC600" w14:textId="2F3897C9" w:rsidR="00270525" w:rsidRDefault="00270525" w:rsidP="00270525">
            <w:pPr>
              <w:pStyle w:val="BlockText"/>
              <w:ind w:left="0" w:right="-79"/>
              <w:jc w:val="left"/>
              <w:rPr>
                <w:rFonts w:ascii="Calibri" w:hAnsi="Calibri"/>
                <w:b/>
                <w:iCs/>
              </w:rPr>
            </w:pPr>
          </w:p>
        </w:tc>
      </w:tr>
      <w:tr w:rsidR="004427A4" w:rsidRPr="00E12BDD" w14:paraId="18890890" w14:textId="77777777" w:rsidTr="002C4529">
        <w:tc>
          <w:tcPr>
            <w:tcW w:w="2694" w:type="dxa"/>
          </w:tcPr>
          <w:p w14:paraId="6C9FC6B2" w14:textId="77777777" w:rsidR="004427A4" w:rsidRPr="00823D6C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Criteria for treatment</w:t>
            </w:r>
          </w:p>
        </w:tc>
        <w:tc>
          <w:tcPr>
            <w:tcW w:w="7229" w:type="dxa"/>
          </w:tcPr>
          <w:p w14:paraId="489685E3" w14:textId="77777777" w:rsidR="004427A4" w:rsidRPr="00BC42D0" w:rsidRDefault="004427A4" w:rsidP="004427A4">
            <w:pPr>
              <w:pStyle w:val="BlockText"/>
              <w:ind w:left="0" w:right="-79"/>
              <w:rPr>
                <w:rFonts w:ascii="Calibri" w:hAnsi="Calibri" w:cs="Arial"/>
                <w:b/>
              </w:rPr>
            </w:pPr>
            <w:r w:rsidRPr="00BC42D0">
              <w:rPr>
                <w:rFonts w:ascii="Calibri" w:hAnsi="Calibri" w:cs="Arial"/>
                <w:b/>
              </w:rPr>
              <w:t>Inclusion criteria</w:t>
            </w:r>
          </w:p>
          <w:p w14:paraId="288AB840" w14:textId="6DEBA7EC" w:rsidR="004427A4" w:rsidRDefault="002C4529" w:rsidP="00270525">
            <w:pPr>
              <w:pStyle w:val="BlockText"/>
              <w:ind w:left="0" w:right="-79"/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</w:pPr>
            <w:r>
              <w:rPr>
                <w:rFonts w:ascii="Calibri" w:hAnsi="Calibri" w:cs="Arial"/>
              </w:rPr>
              <w:t>A</w:t>
            </w:r>
            <w:r w:rsidR="00270525">
              <w:rPr>
                <w:rFonts w:ascii="Calibri" w:hAnsi="Calibri" w:cs="Arial"/>
              </w:rPr>
              <w:t>cute life-threatening hyperkalaemia (</w:t>
            </w:r>
            <w:r w:rsidR="00270525" w:rsidRPr="00270525">
              <w:rPr>
                <w:rFonts w:asciiTheme="minorHAnsi" w:hAnsiTheme="minorHAnsi" w:cstheme="minorHAnsi"/>
              </w:rPr>
              <w:t>serum K+</w:t>
            </w:r>
            <w:r w:rsidR="00270525" w:rsidRPr="00270525">
              <w:rPr>
                <w:rFonts w:asciiTheme="minorHAnsi" w:eastAsia="Helvetica Neue" w:hAnsiTheme="minorHAnsi" w:cstheme="minorHAnsi"/>
                <w:color w:val="000000"/>
                <w:kern w:val="24"/>
              </w:rPr>
              <w:t>≥</w:t>
            </w:r>
            <w:r w:rsidR="00270525" w:rsidRPr="00270525">
              <w:rPr>
                <w:rFonts w:asciiTheme="minorHAnsi" w:eastAsia="Helvetica Neue" w:hAnsiTheme="minorHAnsi" w:cstheme="minorHAnsi"/>
                <w:kern w:val="24"/>
              </w:rPr>
              <w:t>6.5</w:t>
            </w:r>
            <w:r w:rsidR="00270525">
              <w:rPr>
                <w:rFonts w:asciiTheme="minorHAnsi" w:eastAsia="Helvetica Neue" w:hAnsiTheme="minorHAnsi" w:cstheme="minorHAnsi"/>
                <w:kern w:val="24"/>
              </w:rPr>
              <w:t xml:space="preserve">mmol/L) </w:t>
            </w:r>
            <w:r w:rsidR="00270525" w:rsidRPr="00270525"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  <w:t>alongside standard care</w:t>
            </w:r>
            <w:r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  <w:t xml:space="preserve"> and under specialist supervision</w:t>
            </w:r>
          </w:p>
          <w:p w14:paraId="11EDF7DE" w14:textId="714ACA20" w:rsidR="00EE62FF" w:rsidRDefault="00EE62FF" w:rsidP="00270525">
            <w:pPr>
              <w:pStyle w:val="BlockText"/>
              <w:ind w:left="0" w:right="-79"/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</w:pPr>
          </w:p>
          <w:p w14:paraId="65ECB386" w14:textId="07247C14" w:rsidR="00724C51" w:rsidRDefault="002C4529" w:rsidP="00724C51">
            <w:pPr>
              <w:pStyle w:val="BlockText"/>
              <w:ind w:left="0" w:right="-79"/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</w:pPr>
            <w:r>
              <w:rPr>
                <w:rFonts w:asciiTheme="minorHAnsi" w:eastAsia="Helvetica Neue" w:hAnsiTheme="minorHAnsi" w:cstheme="minorHAnsi"/>
                <w:kern w:val="24"/>
              </w:rPr>
              <w:t>A</w:t>
            </w:r>
            <w:r w:rsidR="00EE62FF">
              <w:rPr>
                <w:rFonts w:asciiTheme="minorHAnsi" w:eastAsia="Helvetica Neue" w:hAnsiTheme="minorHAnsi" w:cstheme="minorHAnsi"/>
                <w:kern w:val="24"/>
              </w:rPr>
              <w:t xml:space="preserve">cute hyperkalaemia (serum K+ 6.0 – 6.4mmol/L) without ECG changes but with </w:t>
            </w:r>
            <w:r w:rsidR="00660929">
              <w:rPr>
                <w:rFonts w:asciiTheme="minorHAnsi" w:eastAsia="Helvetica Neue" w:hAnsiTheme="minorHAnsi" w:cstheme="minorHAnsi"/>
                <w:kern w:val="24"/>
              </w:rPr>
              <w:t>high-risk</w:t>
            </w:r>
            <w:r w:rsidR="00EE62FF">
              <w:rPr>
                <w:rFonts w:asciiTheme="minorHAnsi" w:eastAsia="Helvetica Neue" w:hAnsiTheme="minorHAnsi" w:cstheme="minorHAnsi"/>
                <w:kern w:val="24"/>
              </w:rPr>
              <w:t xml:space="preserve"> features for progressive hyperkalaemia (rapid rise in serum K over 24hrs or progressive AKI with </w:t>
            </w:r>
            <w:proofErr w:type="spellStart"/>
            <w:r w:rsidR="00EE62FF">
              <w:rPr>
                <w:rFonts w:asciiTheme="minorHAnsi" w:eastAsia="Helvetica Neue" w:hAnsiTheme="minorHAnsi" w:cstheme="minorHAnsi"/>
                <w:kern w:val="24"/>
              </w:rPr>
              <w:t>oligoanuria</w:t>
            </w:r>
            <w:proofErr w:type="spellEnd"/>
            <w:r w:rsidR="00EE62FF">
              <w:rPr>
                <w:rFonts w:asciiTheme="minorHAnsi" w:eastAsia="Helvetica Neue" w:hAnsiTheme="minorHAnsi" w:cstheme="minorHAnsi"/>
                <w:kern w:val="24"/>
              </w:rPr>
              <w:t>)</w:t>
            </w:r>
            <w:r w:rsidR="00724C51">
              <w:rPr>
                <w:rFonts w:asciiTheme="minorHAnsi" w:eastAsia="Helvetica Neue" w:hAnsiTheme="minorHAnsi" w:cstheme="minorHAnsi"/>
                <w:kern w:val="24"/>
              </w:rPr>
              <w:t xml:space="preserve"> </w:t>
            </w:r>
            <w:r w:rsidR="00724C51" w:rsidRPr="00270525"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  <w:t>alongside standard care</w:t>
            </w:r>
            <w:r>
              <w:rPr>
                <w:rFonts w:asciiTheme="minorHAnsi" w:eastAsia="Helvetica Neue" w:hAnsiTheme="minorHAnsi" w:cstheme="minorHAnsi"/>
                <w:b/>
                <w:bCs/>
                <w:i/>
                <w:iCs/>
                <w:kern w:val="24"/>
              </w:rPr>
              <w:t xml:space="preserve"> and under specialist supervision</w:t>
            </w:r>
          </w:p>
          <w:p w14:paraId="4B7B2327" w14:textId="77777777" w:rsidR="00270525" w:rsidRDefault="00270525" w:rsidP="00270525">
            <w:pPr>
              <w:pStyle w:val="BlockText"/>
              <w:ind w:left="0" w:right="-79"/>
              <w:rPr>
                <w:rFonts w:asciiTheme="minorHAnsi" w:eastAsia="Helvetica Neue" w:hAnsiTheme="minorHAnsi" w:cstheme="minorHAnsi"/>
                <w:b/>
                <w:iCs/>
                <w:kern w:val="24"/>
              </w:rPr>
            </w:pPr>
          </w:p>
          <w:p w14:paraId="068ECB3B" w14:textId="77777777" w:rsidR="00270525" w:rsidRDefault="00270525" w:rsidP="00270525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 xml:space="preserve">Exclusion criteria </w:t>
            </w:r>
          </w:p>
          <w:p w14:paraId="1893E0F2" w14:textId="5BB96A17" w:rsidR="00270525" w:rsidRDefault="00270525" w:rsidP="00270525">
            <w:pPr>
              <w:pStyle w:val="BlockText"/>
              <w:ind w:left="0" w:right="-79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Patients with gastrointestinal obstruction</w:t>
            </w:r>
          </w:p>
          <w:p w14:paraId="00A36C94" w14:textId="7CCBDD87" w:rsidR="00270525" w:rsidRPr="00270525" w:rsidRDefault="00270525" w:rsidP="00270525">
            <w:pPr>
              <w:pStyle w:val="BlockText"/>
              <w:ind w:left="0" w:right="-79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Caution in patients with gastrointestinal dysmotility</w:t>
            </w:r>
          </w:p>
        </w:tc>
      </w:tr>
      <w:tr w:rsidR="005F044B" w:rsidRPr="00E12BDD" w14:paraId="31971076" w14:textId="77777777" w:rsidTr="002C4529">
        <w:tc>
          <w:tcPr>
            <w:tcW w:w="2694" w:type="dxa"/>
          </w:tcPr>
          <w:p w14:paraId="5C1A48E4" w14:textId="77777777" w:rsidR="005F044B" w:rsidRPr="00823D6C" w:rsidRDefault="005F044B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229" w:type="dxa"/>
          </w:tcPr>
          <w:p w14:paraId="776B2A3B" w14:textId="77777777" w:rsidR="00F01B82" w:rsidRPr="00F01B82" w:rsidRDefault="00CA1BC0" w:rsidP="009463FF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Available Preparations</w:t>
            </w:r>
          </w:p>
          <w:p w14:paraId="65400208" w14:textId="27CC5883" w:rsidR="00CA1BC0" w:rsidRDefault="00CA1BC0" w:rsidP="009463FF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10g powder for oral suspension</w:t>
            </w:r>
            <w:r w:rsidR="00F01B82" w:rsidRPr="00F01B82">
              <w:rPr>
                <w:rFonts w:ascii="Calibri" w:hAnsi="Calibri"/>
                <w:iCs/>
              </w:rPr>
              <w:t xml:space="preserve"> x </w:t>
            </w:r>
            <w:r>
              <w:rPr>
                <w:rFonts w:ascii="Calibri" w:hAnsi="Calibri"/>
                <w:iCs/>
              </w:rPr>
              <w:t>3</w:t>
            </w:r>
            <w:r w:rsidR="001909E6">
              <w:rPr>
                <w:rFonts w:ascii="Calibri" w:hAnsi="Calibri"/>
                <w:iCs/>
              </w:rPr>
              <w:t xml:space="preserve"> sachets</w:t>
            </w:r>
          </w:p>
          <w:p w14:paraId="639ADC9F" w14:textId="65D8AB2E" w:rsidR="00CA1BC0" w:rsidRDefault="00CA1BC0" w:rsidP="009463FF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10g powder for oral suspension x 30</w:t>
            </w:r>
            <w:r w:rsidR="001909E6">
              <w:rPr>
                <w:rFonts w:ascii="Calibri" w:hAnsi="Calibri"/>
                <w:iCs/>
              </w:rPr>
              <w:t xml:space="preserve"> sachets</w:t>
            </w:r>
          </w:p>
          <w:p w14:paraId="470EB94C" w14:textId="2A055A26" w:rsidR="00F01B82" w:rsidRPr="00F01B82" w:rsidRDefault="00CA1BC0" w:rsidP="009463FF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5g powder for oral suspension</w:t>
            </w:r>
            <w:r w:rsidR="00F01B82" w:rsidRPr="00F01B82">
              <w:rPr>
                <w:rFonts w:ascii="Calibri" w:hAnsi="Calibri"/>
                <w:iCs/>
              </w:rPr>
              <w:t xml:space="preserve"> x 30</w:t>
            </w:r>
            <w:r w:rsidR="001909E6">
              <w:rPr>
                <w:rFonts w:ascii="Calibri" w:hAnsi="Calibri"/>
                <w:iCs/>
              </w:rPr>
              <w:t xml:space="preserve"> sachets</w:t>
            </w:r>
          </w:p>
          <w:p w14:paraId="1AE763EA" w14:textId="77777777" w:rsidR="00F01B82" w:rsidRDefault="00F01B82" w:rsidP="009463FF">
            <w:pPr>
              <w:pStyle w:val="BlockText"/>
              <w:ind w:left="0" w:right="-79"/>
              <w:rPr>
                <w:rFonts w:ascii="Calibri" w:hAnsi="Calibri"/>
                <w:b/>
                <w:i/>
                <w:iCs/>
              </w:rPr>
            </w:pPr>
          </w:p>
          <w:p w14:paraId="39F0D08A" w14:textId="77777777" w:rsidR="001B6582" w:rsidRPr="00F01B82" w:rsidRDefault="001B6582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 w:rsidRPr="00F01B82">
              <w:rPr>
                <w:rFonts w:ascii="Calibri" w:hAnsi="Calibri"/>
                <w:b/>
                <w:iCs/>
              </w:rPr>
              <w:t xml:space="preserve">Correction phase </w:t>
            </w:r>
          </w:p>
          <w:p w14:paraId="667D1160" w14:textId="57D503A5" w:rsidR="001B6582" w:rsidRDefault="00FE165A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 w:rsidRPr="00BD2467">
              <w:rPr>
                <w:rFonts w:ascii="Calibri" w:hAnsi="Calibri"/>
                <w:b/>
                <w:bCs/>
              </w:rPr>
              <w:t>10g three times daily</w:t>
            </w:r>
            <w:r w:rsidR="00A04FB3">
              <w:rPr>
                <w:rFonts w:ascii="Calibri" w:hAnsi="Calibri"/>
              </w:rPr>
              <w:t xml:space="preserve"> </w:t>
            </w:r>
            <w:r w:rsidR="001B6582" w:rsidRPr="001B6582">
              <w:rPr>
                <w:rFonts w:ascii="Calibri" w:hAnsi="Calibri"/>
              </w:rPr>
              <w:t>admin</w:t>
            </w:r>
            <w:r w:rsidR="00A04FB3">
              <w:rPr>
                <w:rFonts w:ascii="Calibri" w:hAnsi="Calibri"/>
              </w:rPr>
              <w:t xml:space="preserve">istered </w:t>
            </w:r>
            <w:r w:rsidR="001B6582" w:rsidRPr="001B6582">
              <w:rPr>
                <w:rFonts w:ascii="Calibri" w:hAnsi="Calibri"/>
              </w:rPr>
              <w:t>as a</w:t>
            </w:r>
            <w:r w:rsidR="00A04FB3">
              <w:rPr>
                <w:rFonts w:ascii="Calibri" w:hAnsi="Calibri"/>
              </w:rPr>
              <w:t xml:space="preserve">n oral suspension in water. </w:t>
            </w:r>
            <w:r w:rsidR="001B6582" w:rsidRPr="001B6582">
              <w:rPr>
                <w:rFonts w:ascii="Calibri" w:hAnsi="Calibri"/>
              </w:rPr>
              <w:t xml:space="preserve">When normokalaemia </w:t>
            </w:r>
            <w:r w:rsidR="00037DE0">
              <w:rPr>
                <w:rFonts w:ascii="Calibri" w:hAnsi="Calibri"/>
              </w:rPr>
              <w:t xml:space="preserve">(serum K+&lt;5.5 mmol/L) </w:t>
            </w:r>
            <w:r w:rsidR="001B6582" w:rsidRPr="001B6582">
              <w:rPr>
                <w:rFonts w:ascii="Calibri" w:hAnsi="Calibri"/>
              </w:rPr>
              <w:t>is achieved</w:t>
            </w:r>
            <w:r w:rsidR="001B6582">
              <w:rPr>
                <w:rFonts w:ascii="Calibri" w:hAnsi="Calibri"/>
              </w:rPr>
              <w:t xml:space="preserve"> (</w:t>
            </w:r>
            <w:r w:rsidR="00A04FB3">
              <w:rPr>
                <w:rFonts w:ascii="Calibri" w:hAnsi="Calibri"/>
              </w:rPr>
              <w:t xml:space="preserve">typically after </w:t>
            </w:r>
            <w:r w:rsidR="001B6582">
              <w:rPr>
                <w:rFonts w:ascii="Calibri" w:hAnsi="Calibri"/>
              </w:rPr>
              <w:t>24-</w:t>
            </w:r>
            <w:r w:rsidR="00A04FB3">
              <w:rPr>
                <w:rFonts w:ascii="Calibri" w:hAnsi="Calibri"/>
              </w:rPr>
              <w:t>48 hours)</w:t>
            </w:r>
            <w:r w:rsidR="001B6582" w:rsidRPr="001B6582">
              <w:rPr>
                <w:rFonts w:ascii="Calibri" w:hAnsi="Calibri"/>
              </w:rPr>
              <w:t xml:space="preserve"> the maintenance regimen </w:t>
            </w:r>
            <w:r w:rsidR="001B6582">
              <w:rPr>
                <w:rFonts w:ascii="Calibri" w:hAnsi="Calibri"/>
              </w:rPr>
              <w:t>should be followed.</w:t>
            </w:r>
          </w:p>
          <w:p w14:paraId="6E916BA8" w14:textId="77777777" w:rsidR="00BD2467" w:rsidRDefault="00BD2467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67108882" w14:textId="55DB3D23" w:rsidR="00A04FB3" w:rsidRDefault="001B6582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 w:rsidRPr="001B6582">
              <w:rPr>
                <w:rFonts w:ascii="Calibri" w:hAnsi="Calibri"/>
              </w:rPr>
              <w:t xml:space="preserve">If patients are still </w:t>
            </w:r>
            <w:proofErr w:type="spellStart"/>
            <w:r w:rsidRPr="001B6582">
              <w:rPr>
                <w:rFonts w:ascii="Calibri" w:hAnsi="Calibri"/>
              </w:rPr>
              <w:t>hyperkalaemic</w:t>
            </w:r>
            <w:proofErr w:type="spellEnd"/>
            <w:r w:rsidRPr="001B6582">
              <w:rPr>
                <w:rFonts w:ascii="Calibri" w:hAnsi="Calibri"/>
              </w:rPr>
              <w:t xml:space="preserve"> </w:t>
            </w:r>
            <w:r w:rsidR="00037DE0">
              <w:rPr>
                <w:rFonts w:ascii="Calibri" w:hAnsi="Calibri"/>
              </w:rPr>
              <w:t xml:space="preserve">(K+ </w:t>
            </w:r>
            <w:r w:rsidR="00037DE0">
              <w:rPr>
                <w:rFonts w:ascii="Calibri" w:hAnsi="Calibri"/>
              </w:rPr>
              <w:sym w:font="Symbol" w:char="F0B3"/>
            </w:r>
            <w:r w:rsidR="00037DE0">
              <w:rPr>
                <w:rFonts w:ascii="Calibri" w:hAnsi="Calibri"/>
              </w:rPr>
              <w:t xml:space="preserve">5.5mmol/L) </w:t>
            </w:r>
            <w:r w:rsidRPr="001B6582">
              <w:rPr>
                <w:rFonts w:ascii="Calibri" w:hAnsi="Calibri"/>
              </w:rPr>
              <w:t xml:space="preserve">after </w:t>
            </w:r>
            <w:r w:rsidR="00A04FB3">
              <w:rPr>
                <w:rFonts w:ascii="Calibri" w:hAnsi="Calibri"/>
              </w:rPr>
              <w:t xml:space="preserve">48 hours continue the same dose for an </w:t>
            </w:r>
            <w:r w:rsidRPr="001B6582">
              <w:rPr>
                <w:rFonts w:ascii="Calibri" w:hAnsi="Calibri"/>
              </w:rPr>
              <w:t>additional 24 hours. If normokalaemia is not achieved after 72 hou</w:t>
            </w:r>
            <w:r w:rsidR="00A04FB3">
              <w:rPr>
                <w:rFonts w:ascii="Calibri" w:hAnsi="Calibri"/>
              </w:rPr>
              <w:t xml:space="preserve">rs of treatment, </w:t>
            </w:r>
            <w:r w:rsidR="00037DE0">
              <w:rPr>
                <w:rFonts w:ascii="Calibri" w:hAnsi="Calibri"/>
              </w:rPr>
              <w:t xml:space="preserve">consider </w:t>
            </w:r>
            <w:r w:rsidR="00A04FB3">
              <w:rPr>
                <w:rFonts w:ascii="Calibri" w:hAnsi="Calibri"/>
              </w:rPr>
              <w:t>discontinu</w:t>
            </w:r>
            <w:r w:rsidR="00037DE0">
              <w:rPr>
                <w:rFonts w:ascii="Calibri" w:hAnsi="Calibri"/>
              </w:rPr>
              <w:t xml:space="preserve">ation due to lack of efficacy. </w:t>
            </w:r>
          </w:p>
          <w:p w14:paraId="0051CE01" w14:textId="77777777" w:rsidR="00A04FB3" w:rsidRDefault="00A04FB3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5D58A99E" w14:textId="77777777" w:rsidR="001B6582" w:rsidRPr="00F01B82" w:rsidRDefault="001B6582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 w:rsidRPr="00F01B82">
              <w:rPr>
                <w:rFonts w:ascii="Calibri" w:hAnsi="Calibri"/>
                <w:b/>
                <w:iCs/>
              </w:rPr>
              <w:t>Maintenance phase</w:t>
            </w:r>
            <w:r w:rsidRPr="00F01B82">
              <w:rPr>
                <w:rFonts w:ascii="Calibri" w:hAnsi="Calibri"/>
                <w:b/>
              </w:rPr>
              <w:t xml:space="preserve"> </w:t>
            </w:r>
          </w:p>
          <w:p w14:paraId="14151675" w14:textId="222D5E5F" w:rsidR="00BD2467" w:rsidRPr="00BD2467" w:rsidRDefault="009463FF" w:rsidP="009463FF">
            <w:pPr>
              <w:pStyle w:val="BlockText"/>
              <w:ind w:left="0" w:right="-79"/>
              <w:rPr>
                <w:rFonts w:ascii="Calibri" w:hAnsi="Calibri"/>
                <w:b/>
                <w:bCs/>
              </w:rPr>
            </w:pPr>
            <w:r w:rsidRPr="00BD2467">
              <w:rPr>
                <w:rFonts w:ascii="Calibri" w:hAnsi="Calibri"/>
                <w:b/>
                <w:bCs/>
              </w:rPr>
              <w:t>5</w:t>
            </w:r>
            <w:r w:rsidR="00A04FB3" w:rsidRPr="00BD2467">
              <w:rPr>
                <w:rFonts w:ascii="Calibri" w:hAnsi="Calibri"/>
                <w:b/>
                <w:bCs/>
              </w:rPr>
              <w:t>g once da</w:t>
            </w:r>
            <w:r w:rsidRPr="00BD2467">
              <w:rPr>
                <w:rFonts w:ascii="Calibri" w:hAnsi="Calibri"/>
                <w:b/>
                <w:bCs/>
              </w:rPr>
              <w:t>ily starting dose</w:t>
            </w:r>
          </w:p>
          <w:p w14:paraId="3DDD1125" w14:textId="007C6130" w:rsidR="001B6582" w:rsidRPr="001B6582" w:rsidRDefault="009463FF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Dose range: </w:t>
            </w:r>
            <w:r w:rsidR="00A04FB3">
              <w:rPr>
                <w:rFonts w:ascii="Calibri" w:hAnsi="Calibri"/>
              </w:rPr>
              <w:t>5g</w:t>
            </w:r>
            <w:r w:rsidR="00710221">
              <w:rPr>
                <w:rFonts w:ascii="Calibri" w:hAnsi="Calibri"/>
              </w:rPr>
              <w:t xml:space="preserve"> on alternate days up to </w:t>
            </w:r>
            <w:r>
              <w:rPr>
                <w:rFonts w:ascii="Calibri" w:hAnsi="Calibri"/>
              </w:rPr>
              <w:t>10</w:t>
            </w:r>
            <w:r w:rsidR="00A04FB3">
              <w:rPr>
                <w:rFonts w:ascii="Calibri" w:hAnsi="Calibri"/>
              </w:rPr>
              <w:t>g once daily</w:t>
            </w:r>
            <w:r w:rsidR="00FE165A">
              <w:rPr>
                <w:rFonts w:ascii="Calibri" w:hAnsi="Calibri"/>
              </w:rPr>
              <w:t xml:space="preserve"> depending on potassium.</w:t>
            </w:r>
            <w:r w:rsidR="00BD2467">
              <w:rPr>
                <w:rFonts w:ascii="Calibri" w:hAnsi="Calibri"/>
              </w:rPr>
              <w:t xml:space="preserve"> </w:t>
            </w:r>
            <w:r w:rsidR="00FE165A">
              <w:rPr>
                <w:rFonts w:ascii="Calibri" w:hAnsi="Calibri"/>
              </w:rPr>
              <w:t>No more than 10</w:t>
            </w:r>
            <w:r w:rsidR="001B6582" w:rsidRPr="001B6582">
              <w:rPr>
                <w:rFonts w:ascii="Calibri" w:hAnsi="Calibri"/>
              </w:rPr>
              <w:t>g once daily should be used for maintenance therapy.</w:t>
            </w:r>
            <w:r w:rsidR="00BD2467">
              <w:rPr>
                <w:rFonts w:ascii="Calibri" w:hAnsi="Calibri"/>
              </w:rPr>
              <w:t xml:space="preserve"> Treatment should be discontinued when risk of acute hyperkalaemia has resolved (e.g. resolution of acute kidney injury).</w:t>
            </w:r>
          </w:p>
          <w:p w14:paraId="2184F59C" w14:textId="77777777" w:rsidR="00AE3CD2" w:rsidRDefault="00AE3CD2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04CF18C0" w14:textId="77777777" w:rsidR="00AE3CD2" w:rsidRDefault="00AE3CD2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a patient misses a dose they should be instructed to take the next usual dose at their normal time.</w:t>
            </w:r>
          </w:p>
          <w:p w14:paraId="17F51E46" w14:textId="77777777" w:rsidR="00091619" w:rsidRPr="00823D6C" w:rsidRDefault="00091619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</w:tc>
      </w:tr>
      <w:tr w:rsidR="005F044B" w:rsidRPr="00E12BDD" w14:paraId="717E4020" w14:textId="77777777" w:rsidTr="002C4529">
        <w:tc>
          <w:tcPr>
            <w:tcW w:w="2694" w:type="dxa"/>
          </w:tcPr>
          <w:p w14:paraId="0B5F5F14" w14:textId="77777777" w:rsidR="004427A4" w:rsidRDefault="004427A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Monitoring</w:t>
            </w:r>
          </w:p>
          <w:p w14:paraId="64CF3E6E" w14:textId="77777777" w:rsidR="004427A4" w:rsidRDefault="004427A4">
            <w:pPr>
              <w:rPr>
                <w:rFonts w:ascii="Calibri" w:hAnsi="Calibri" w:cs="Arial"/>
                <w:b/>
              </w:rPr>
            </w:pPr>
          </w:p>
          <w:p w14:paraId="7D9AFCB1" w14:textId="77777777" w:rsidR="004427A4" w:rsidRDefault="004427A4">
            <w:pPr>
              <w:rPr>
                <w:rFonts w:ascii="Calibri" w:hAnsi="Calibri" w:cs="Arial"/>
                <w:b/>
              </w:rPr>
            </w:pPr>
          </w:p>
          <w:p w14:paraId="3DDD005F" w14:textId="77777777" w:rsidR="005F044B" w:rsidRPr="00823D6C" w:rsidRDefault="005F044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229" w:type="dxa"/>
          </w:tcPr>
          <w:p w14:paraId="755ABB79" w14:textId="18EC333F" w:rsidR="00037DE0" w:rsidRPr="00037DE0" w:rsidRDefault="00037DE0" w:rsidP="004427A4">
            <w:pPr>
              <w:jc w:val="both"/>
              <w:rPr>
                <w:rFonts w:ascii="Calibri" w:hAnsi="Calibri" w:cs="Arial"/>
                <w:b/>
                <w:bCs/>
                <w:lang w:val="en-US"/>
              </w:rPr>
            </w:pPr>
            <w:r w:rsidRPr="00037DE0">
              <w:rPr>
                <w:rFonts w:ascii="Calibri" w:hAnsi="Calibri" w:cs="Arial"/>
                <w:b/>
                <w:bCs/>
                <w:lang w:val="en-US"/>
              </w:rPr>
              <w:t>Inpatient</w:t>
            </w:r>
            <w:r w:rsidR="00660929">
              <w:rPr>
                <w:rFonts w:ascii="Calibri" w:hAnsi="Calibri" w:cs="Arial"/>
                <w:b/>
                <w:bCs/>
                <w:lang w:val="en-US"/>
              </w:rPr>
              <w:t xml:space="preserve"> use</w:t>
            </w:r>
          </w:p>
          <w:p w14:paraId="62640FE8" w14:textId="44587945" w:rsidR="004427A4" w:rsidRPr="00BD2467" w:rsidRDefault="004427A4" w:rsidP="004427A4">
            <w:pPr>
              <w:jc w:val="both"/>
              <w:rPr>
                <w:rFonts w:ascii="Calibri" w:hAnsi="Calibri" w:cs="Arial"/>
                <w:i/>
                <w:iCs/>
                <w:lang w:val="en-US"/>
              </w:rPr>
            </w:pPr>
            <w:r w:rsidRPr="00091619">
              <w:rPr>
                <w:rFonts w:ascii="Calibri" w:hAnsi="Calibri" w:cs="Arial"/>
                <w:lang w:val="en-US"/>
              </w:rPr>
              <w:t xml:space="preserve">Potassium should be measured </w:t>
            </w:r>
            <w:r w:rsidR="00270525">
              <w:rPr>
                <w:rFonts w:ascii="Calibri" w:hAnsi="Calibri" w:cs="Arial"/>
                <w:lang w:val="en-US"/>
              </w:rPr>
              <w:t>at 2</w:t>
            </w:r>
            <w:r w:rsidR="00BD2467">
              <w:rPr>
                <w:rFonts w:ascii="Calibri" w:hAnsi="Calibri" w:cs="Arial"/>
                <w:lang w:val="en-US"/>
              </w:rPr>
              <w:t xml:space="preserve"> hours</w:t>
            </w:r>
            <w:r w:rsidR="00270525">
              <w:rPr>
                <w:rFonts w:ascii="Calibri" w:hAnsi="Calibri" w:cs="Arial"/>
                <w:lang w:val="en-US"/>
              </w:rPr>
              <w:t xml:space="preserve"> and </w:t>
            </w:r>
            <w:r w:rsidR="00BD2467">
              <w:rPr>
                <w:rFonts w:ascii="Calibri" w:hAnsi="Calibri" w:cs="Arial"/>
                <w:lang w:val="en-US"/>
              </w:rPr>
              <w:t>6</w:t>
            </w:r>
            <w:r w:rsidR="00270525">
              <w:rPr>
                <w:rFonts w:ascii="Calibri" w:hAnsi="Calibri" w:cs="Arial"/>
                <w:lang w:val="en-US"/>
              </w:rPr>
              <w:t xml:space="preserve"> hours </w:t>
            </w:r>
            <w:r w:rsidR="00BD2467">
              <w:rPr>
                <w:rFonts w:ascii="Calibri" w:hAnsi="Calibri" w:cs="Arial"/>
                <w:lang w:val="en-US"/>
              </w:rPr>
              <w:t xml:space="preserve">after starting treatment as indicated in </w:t>
            </w:r>
            <w:hyperlink r:id="rId9" w:history="1">
              <w:r w:rsidR="00BD2467" w:rsidRPr="002C4529">
                <w:rPr>
                  <w:rStyle w:val="Hyperlink"/>
                  <w:rFonts w:ascii="Calibri" w:hAnsi="Calibri" w:cs="Arial"/>
                  <w:lang w:val="en-US"/>
                </w:rPr>
                <w:t xml:space="preserve">‘Management of </w:t>
              </w:r>
              <w:proofErr w:type="spellStart"/>
              <w:r w:rsidR="00BD2467" w:rsidRPr="002C4529">
                <w:rPr>
                  <w:rStyle w:val="Hyperlink"/>
                  <w:rFonts w:ascii="Calibri" w:hAnsi="Calibri" w:cs="Arial"/>
                  <w:lang w:val="en-US"/>
                </w:rPr>
                <w:t>hyperkalaemia</w:t>
              </w:r>
              <w:proofErr w:type="spellEnd"/>
              <w:r w:rsidR="00BD2467" w:rsidRPr="002C4529">
                <w:rPr>
                  <w:rStyle w:val="Hyperlink"/>
                  <w:rFonts w:ascii="Calibri" w:hAnsi="Calibri" w:cs="Arial"/>
                  <w:lang w:val="en-US"/>
                </w:rPr>
                <w:t xml:space="preserve"> in adults</w:t>
              </w:r>
              <w:r w:rsidR="00037DE0" w:rsidRPr="002C4529">
                <w:rPr>
                  <w:rStyle w:val="Hyperlink"/>
                  <w:rFonts w:ascii="Calibri" w:hAnsi="Calibri" w:cs="Arial"/>
                  <w:lang w:val="en-US"/>
                </w:rPr>
                <w:t xml:space="preserve"> in hospital</w:t>
              </w:r>
              <w:r w:rsidR="00BD2467" w:rsidRPr="002C4529">
                <w:rPr>
                  <w:rStyle w:val="Hyperlink"/>
                  <w:rFonts w:ascii="Calibri" w:hAnsi="Calibri" w:cs="Arial"/>
                  <w:lang w:val="en-US"/>
                </w:rPr>
                <w:t>’</w:t>
              </w:r>
            </w:hyperlink>
            <w:r w:rsidR="00BD2467">
              <w:rPr>
                <w:rFonts w:ascii="Calibri" w:hAnsi="Calibri" w:cs="Arial"/>
                <w:lang w:val="en-US"/>
              </w:rPr>
              <w:t xml:space="preserve"> guideline. Beyond this period</w:t>
            </w:r>
            <w:r w:rsidR="001909E6">
              <w:rPr>
                <w:rFonts w:ascii="Calibri" w:hAnsi="Calibri" w:cs="Arial"/>
                <w:lang w:val="en-US"/>
              </w:rPr>
              <w:t>,</w:t>
            </w:r>
            <w:r w:rsidR="00BD2467">
              <w:rPr>
                <w:rFonts w:ascii="Calibri" w:hAnsi="Calibri" w:cs="Arial"/>
                <w:lang w:val="en-US"/>
              </w:rPr>
              <w:t xml:space="preserve"> potassium should be </w:t>
            </w:r>
            <w:r w:rsidR="00BD2467" w:rsidRPr="00660929">
              <w:rPr>
                <w:rFonts w:ascii="Calibri" w:hAnsi="Calibri" w:cs="Arial"/>
                <w:b/>
                <w:bCs/>
                <w:lang w:val="en-US"/>
              </w:rPr>
              <w:t>checked at least daily</w:t>
            </w:r>
            <w:r w:rsidR="00BD2467">
              <w:rPr>
                <w:rFonts w:ascii="Calibri" w:hAnsi="Calibri" w:cs="Arial"/>
                <w:lang w:val="en-US"/>
              </w:rPr>
              <w:t xml:space="preserve"> to assess response.</w:t>
            </w:r>
          </w:p>
          <w:p w14:paraId="33C3177E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4827E45F" w14:textId="13AAF3B0" w:rsidR="00757560" w:rsidRDefault="00BD2467" w:rsidP="00BD2467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Continue corrective dosing until normokalaemia (serum K+ &lt;5.5mmol/L) achieved</w:t>
            </w:r>
            <w:r w:rsidR="00037DE0">
              <w:rPr>
                <w:rFonts w:ascii="Calibri" w:hAnsi="Calibri" w:cs="Arial"/>
                <w:lang w:val="en-US"/>
              </w:rPr>
              <w:t xml:space="preserve"> up to a maximum of 72 hours of treatment</w:t>
            </w:r>
            <w:r>
              <w:rPr>
                <w:rFonts w:ascii="Calibri" w:hAnsi="Calibri" w:cs="Arial"/>
                <w:lang w:val="en-US"/>
              </w:rPr>
              <w:t xml:space="preserve">. Continue maintenance dosing until risk of </w:t>
            </w:r>
            <w:proofErr w:type="spellStart"/>
            <w:r>
              <w:rPr>
                <w:rFonts w:ascii="Calibri" w:hAnsi="Calibri" w:cs="Arial"/>
                <w:lang w:val="en-US"/>
              </w:rPr>
              <w:t>hyperkalaemia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has resolved.</w:t>
            </w:r>
          </w:p>
          <w:p w14:paraId="6ECFBF26" w14:textId="32E51396" w:rsidR="00BD2467" w:rsidRDefault="00BD2467" w:rsidP="00BD2467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192D21DC" w14:textId="0878071F" w:rsidR="00BD2467" w:rsidRDefault="00BD2467" w:rsidP="00BD2467">
            <w:pPr>
              <w:jc w:val="both"/>
              <w:rPr>
                <w:rFonts w:ascii="Calibri" w:hAnsi="Calibri" w:cs="Arial"/>
                <w:b/>
                <w:bCs/>
                <w:lang w:val="en-US"/>
              </w:rPr>
            </w:pPr>
            <w:r w:rsidRPr="00BD2467">
              <w:rPr>
                <w:rFonts w:ascii="Calibri" w:hAnsi="Calibri" w:cs="Arial"/>
                <w:b/>
                <w:bCs/>
                <w:lang w:val="en-US"/>
              </w:rPr>
              <w:t>Discontinue if serum K+ &lt;4.0mmol/L.</w:t>
            </w:r>
          </w:p>
          <w:p w14:paraId="7FB5D8A5" w14:textId="7E452E78" w:rsidR="00037DE0" w:rsidRDefault="00037DE0" w:rsidP="00BD2467">
            <w:pPr>
              <w:jc w:val="both"/>
              <w:rPr>
                <w:rFonts w:ascii="Calibri" w:hAnsi="Calibri" w:cs="Arial"/>
                <w:b/>
                <w:bCs/>
                <w:lang w:val="en-US"/>
              </w:rPr>
            </w:pPr>
          </w:p>
          <w:p w14:paraId="3F14AD9A" w14:textId="6756DAB1" w:rsidR="00037DE0" w:rsidRDefault="00037DE0" w:rsidP="00BD2467">
            <w:pPr>
              <w:jc w:val="both"/>
              <w:rPr>
                <w:rFonts w:ascii="Calibri" w:hAnsi="Calibri" w:cs="Arial"/>
                <w:b/>
                <w:bCs/>
                <w:lang w:val="en-US"/>
              </w:rPr>
            </w:pPr>
            <w:r>
              <w:rPr>
                <w:rFonts w:ascii="Calibri" w:hAnsi="Calibri" w:cs="Arial"/>
                <w:b/>
                <w:bCs/>
                <w:lang w:val="en-US"/>
              </w:rPr>
              <w:t>Outpatient</w:t>
            </w:r>
            <w:r w:rsidR="00660929">
              <w:rPr>
                <w:rFonts w:ascii="Calibri" w:hAnsi="Calibri" w:cs="Arial"/>
                <w:b/>
                <w:bCs/>
                <w:lang w:val="en-US"/>
              </w:rPr>
              <w:t xml:space="preserve"> use</w:t>
            </w:r>
          </w:p>
          <w:p w14:paraId="4BC6E8C5" w14:textId="2849FB43" w:rsidR="00037DE0" w:rsidRDefault="00037DE0" w:rsidP="00BD2467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Selected patients being managed through </w:t>
            </w:r>
            <w:r w:rsidR="00961DD2">
              <w:rPr>
                <w:rFonts w:ascii="Calibri" w:hAnsi="Calibri" w:cs="Arial"/>
                <w:lang w:val="en-US"/>
              </w:rPr>
              <w:t>A</w:t>
            </w:r>
            <w:r>
              <w:rPr>
                <w:rFonts w:ascii="Calibri" w:hAnsi="Calibri" w:cs="Arial"/>
                <w:lang w:val="en-US"/>
              </w:rPr>
              <w:t xml:space="preserve">mbulatory </w:t>
            </w:r>
            <w:r w:rsidR="00961DD2">
              <w:rPr>
                <w:rFonts w:ascii="Calibri" w:hAnsi="Calibri" w:cs="Arial"/>
                <w:lang w:val="en-US"/>
              </w:rPr>
              <w:t>C</w:t>
            </w:r>
            <w:r>
              <w:rPr>
                <w:rFonts w:ascii="Calibri" w:hAnsi="Calibri" w:cs="Arial"/>
                <w:lang w:val="en-US"/>
              </w:rPr>
              <w:t xml:space="preserve">are or Hospital at Home </w:t>
            </w:r>
            <w:r w:rsidRPr="00037DE0">
              <w:rPr>
                <w:rFonts w:ascii="Calibri" w:hAnsi="Calibri" w:cs="Arial"/>
                <w:b/>
                <w:bCs/>
                <w:lang w:val="en-US"/>
              </w:rPr>
              <w:t>may</w:t>
            </w:r>
            <w:r>
              <w:rPr>
                <w:rFonts w:ascii="Calibri" w:hAnsi="Calibri" w:cs="Arial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Arial"/>
                <w:lang w:val="en-US"/>
              </w:rPr>
              <w:t xml:space="preserve">be suitable for outpatient treatment with close monitoring. </w:t>
            </w:r>
            <w:r w:rsidR="00961DD2">
              <w:rPr>
                <w:rFonts w:ascii="Calibri" w:hAnsi="Calibri" w:cs="Arial"/>
                <w:lang w:val="en-US"/>
              </w:rPr>
              <w:t xml:space="preserve">These cases must be discussed with Renal Medicine and </w:t>
            </w:r>
            <w:proofErr w:type="spellStart"/>
            <w:r w:rsidR="00961DD2">
              <w:rPr>
                <w:rFonts w:ascii="Calibri" w:hAnsi="Calibri" w:cs="Arial"/>
                <w:lang w:val="en-US"/>
              </w:rPr>
              <w:t>Lokelma</w:t>
            </w:r>
            <w:proofErr w:type="spellEnd"/>
            <w:r w:rsidR="00961DD2">
              <w:rPr>
                <w:rFonts w:ascii="Calibri" w:hAnsi="Calibri" w:cs="Arial"/>
                <w:lang w:val="en-US"/>
              </w:rPr>
              <w:t xml:space="preserve"> use approved by a Registrar or Consultant in Renal Medicine. A named specialist will be required for pharmacy dispensing of </w:t>
            </w:r>
            <w:proofErr w:type="spellStart"/>
            <w:r w:rsidR="00961DD2">
              <w:rPr>
                <w:rFonts w:ascii="Calibri" w:hAnsi="Calibri" w:cs="Arial"/>
                <w:lang w:val="en-US"/>
              </w:rPr>
              <w:t>Lokelma</w:t>
            </w:r>
            <w:proofErr w:type="spellEnd"/>
            <w:r w:rsidR="00961DD2">
              <w:rPr>
                <w:rFonts w:ascii="Calibri" w:hAnsi="Calibri" w:cs="Arial"/>
                <w:lang w:val="en-US"/>
              </w:rPr>
              <w:t xml:space="preserve"> for outpatient use. In these cases:</w:t>
            </w:r>
          </w:p>
          <w:p w14:paraId="54E23868" w14:textId="27E57421" w:rsidR="00961DD2" w:rsidRDefault="00961DD2" w:rsidP="00961D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Maximum 6 days of </w:t>
            </w:r>
            <w:r w:rsidR="009A3735">
              <w:rPr>
                <w:rFonts w:ascii="Calibri" w:hAnsi="Calibri" w:cs="Arial"/>
                <w:lang w:val="en-US"/>
              </w:rPr>
              <w:t>maintenance dosing will be dispensed</w:t>
            </w:r>
          </w:p>
          <w:p w14:paraId="28A4DBE6" w14:textId="2C5C8BF1" w:rsidR="009A3735" w:rsidRDefault="009A3735" w:rsidP="00961D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Potassium should be checked every 48hr as a minimum</w:t>
            </w:r>
          </w:p>
          <w:p w14:paraId="75716048" w14:textId="1E32BE14" w:rsidR="009A3735" w:rsidRDefault="009A3735" w:rsidP="00961D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lang w:val="en-US"/>
              </w:rPr>
            </w:pPr>
            <w:proofErr w:type="spellStart"/>
            <w:r>
              <w:rPr>
                <w:rFonts w:ascii="Calibri" w:hAnsi="Calibri" w:cs="Arial"/>
                <w:lang w:val="en-US"/>
              </w:rPr>
              <w:t>Organising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follow up and monitoring in secondary care remains the responsibility of the discharge team and should NOT be deferred to primary care.</w:t>
            </w:r>
          </w:p>
          <w:p w14:paraId="1BB2C482" w14:textId="3D88A656" w:rsidR="009A3735" w:rsidRPr="00961DD2" w:rsidRDefault="009A3735" w:rsidP="00961D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Dose adjustments and discontinuation can be discussed with Renal Medicine.</w:t>
            </w:r>
          </w:p>
          <w:p w14:paraId="646AD51A" w14:textId="24180295" w:rsidR="00BD2467" w:rsidRPr="00823D6C" w:rsidRDefault="00BD2467" w:rsidP="00BD2467">
            <w:pPr>
              <w:jc w:val="both"/>
              <w:rPr>
                <w:rFonts w:ascii="Calibri" w:hAnsi="Calibri" w:cs="Arial"/>
              </w:rPr>
            </w:pPr>
          </w:p>
        </w:tc>
      </w:tr>
      <w:tr w:rsidR="00BC42D0" w:rsidRPr="00E12BDD" w14:paraId="3E84D807" w14:textId="77777777" w:rsidTr="002C4529">
        <w:tc>
          <w:tcPr>
            <w:tcW w:w="2694" w:type="dxa"/>
          </w:tcPr>
          <w:p w14:paraId="136F0B3B" w14:textId="77777777" w:rsidR="00BC42D0" w:rsidRDefault="00D7277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Side Effects</w:t>
            </w:r>
          </w:p>
        </w:tc>
        <w:tc>
          <w:tcPr>
            <w:tcW w:w="7229" w:type="dxa"/>
          </w:tcPr>
          <w:p w14:paraId="260E96CD" w14:textId="171A4BE3" w:rsidR="00BC42D0" w:rsidRDefault="007F1988" w:rsidP="005852F5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Hypokalaemia, oedema</w:t>
            </w:r>
            <w:r w:rsidR="00AE3CD2">
              <w:rPr>
                <w:rFonts w:ascii="Calibri" w:hAnsi="Calibri" w:cs="Arial"/>
              </w:rPr>
              <w:t xml:space="preserve"> </w:t>
            </w:r>
            <w:r w:rsidR="002C4529">
              <w:rPr>
                <w:rFonts w:ascii="Calibri" w:hAnsi="Calibri" w:cs="Arial"/>
              </w:rPr>
              <w:t>(thought to be due to the sodium load)</w:t>
            </w:r>
            <w:r>
              <w:rPr>
                <w:rFonts w:ascii="Calibri" w:hAnsi="Calibri" w:cs="Arial"/>
              </w:rPr>
              <w:t>, constipation, diarrhoea, nausea</w:t>
            </w:r>
          </w:p>
          <w:p w14:paraId="6370F093" w14:textId="77777777" w:rsidR="00BD2467" w:rsidRDefault="00BD2467" w:rsidP="005852F5">
            <w:pPr>
              <w:pStyle w:val="BlockText"/>
              <w:ind w:left="0" w:right="-79"/>
              <w:rPr>
                <w:rFonts w:ascii="Calibri" w:hAnsi="Calibri" w:cs="Arial"/>
              </w:rPr>
            </w:pPr>
          </w:p>
          <w:p w14:paraId="7C35FF02" w14:textId="7ECA2EAF" w:rsidR="00091619" w:rsidRPr="007F1988" w:rsidRDefault="00AE3CD2" w:rsidP="009463FF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QT prolongation – during correction of hyperkalaemia, a lengthening of the QT interval can be observed</w:t>
            </w:r>
            <w:r w:rsidR="004427A4">
              <w:rPr>
                <w:rFonts w:ascii="Calibri" w:hAnsi="Calibri" w:cs="Arial"/>
              </w:rPr>
              <w:t>.</w:t>
            </w:r>
          </w:p>
        </w:tc>
      </w:tr>
      <w:tr w:rsidR="009E30D2" w:rsidRPr="008D568E" w14:paraId="6F3CB47E" w14:textId="77777777" w:rsidTr="002C452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864" w14:textId="77777777" w:rsidR="009E30D2" w:rsidRPr="00823D6C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Patient Counselling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19E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Mix the contents of each 5g or 10</w:t>
            </w:r>
            <w:r w:rsidRPr="007F1988">
              <w:rPr>
                <w:rFonts w:ascii="Calibri" w:hAnsi="Calibri" w:cs="Arial"/>
                <w:lang w:val="en-US"/>
              </w:rPr>
              <w:t xml:space="preserve">g sachet of powder with approximately 45 mL of water and stir well. The powder will not dissolve and the </w:t>
            </w:r>
            <w:r w:rsidRPr="007F1988">
              <w:rPr>
                <w:rFonts w:ascii="Calibri" w:hAnsi="Calibri" w:cs="Arial"/>
                <w:lang w:val="en-US"/>
              </w:rPr>
              <w:lastRenderedPageBreak/>
              <w:t>suspension should be taken while it is cloudy; if the powder settles i</w:t>
            </w:r>
            <w:r>
              <w:rPr>
                <w:rFonts w:ascii="Calibri" w:hAnsi="Calibri" w:cs="Arial"/>
                <w:lang w:val="en-US"/>
              </w:rPr>
              <w:t xml:space="preserve">t should be stirred again. Take </w:t>
            </w:r>
            <w:r w:rsidRPr="007F1988">
              <w:rPr>
                <w:rFonts w:ascii="Calibri" w:hAnsi="Calibri" w:cs="Arial"/>
                <w:lang w:val="en-US"/>
              </w:rPr>
              <w:t xml:space="preserve">with or without food. </w:t>
            </w:r>
          </w:p>
          <w:p w14:paraId="3749EA91" w14:textId="77777777" w:rsidR="004427A4" w:rsidRPr="007F1988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29B8934B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 w:rsidRPr="007F1988">
              <w:rPr>
                <w:rFonts w:ascii="Calibri" w:hAnsi="Calibri" w:cs="Arial"/>
                <w:lang w:val="en-US"/>
              </w:rPr>
              <w:t>Patients shoul</w:t>
            </w:r>
            <w:r>
              <w:rPr>
                <w:rFonts w:ascii="Calibri" w:hAnsi="Calibri" w:cs="Arial"/>
                <w:lang w:val="en-US"/>
              </w:rPr>
              <w:t>d be advised of potential side effects and seek medical attention if they develop swelling of their ankles.</w:t>
            </w:r>
          </w:p>
          <w:p w14:paraId="28F77D30" w14:textId="77777777" w:rsidR="004427A4" w:rsidRPr="007F1988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398A6537" w14:textId="410B9C0C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S</w:t>
            </w:r>
            <w:r w:rsidR="001909E6">
              <w:rPr>
                <w:rFonts w:ascii="Calibri" w:hAnsi="Calibri" w:cs="Arial"/>
                <w:lang w:val="en-US"/>
              </w:rPr>
              <w:t>odium zirconium cyclosilicate (SZC)</w:t>
            </w:r>
            <w:r>
              <w:rPr>
                <w:rFonts w:ascii="Calibri" w:hAnsi="Calibri" w:cs="Arial"/>
                <w:lang w:val="en-US"/>
              </w:rPr>
              <w:t xml:space="preserve"> is considered high in sodium therefore p</w:t>
            </w:r>
            <w:r w:rsidRPr="007F1988">
              <w:rPr>
                <w:rFonts w:ascii="Calibri" w:hAnsi="Calibri" w:cs="Arial"/>
                <w:lang w:val="en-US"/>
              </w:rPr>
              <w:t>atients should be advised to reduce salt intake (as would be the case for all patients in whom inhibitors of the renin angiotensin system are indic</w:t>
            </w:r>
            <w:r>
              <w:rPr>
                <w:rFonts w:ascii="Calibri" w:hAnsi="Calibri" w:cs="Arial"/>
                <w:lang w:val="en-US"/>
              </w:rPr>
              <w:t>ated) and not to use “</w:t>
            </w:r>
            <w:proofErr w:type="spellStart"/>
            <w:r>
              <w:rPr>
                <w:rFonts w:ascii="Calibri" w:hAnsi="Calibri" w:cs="Arial"/>
                <w:lang w:val="en-US"/>
              </w:rPr>
              <w:t>lo</w:t>
            </w:r>
            <w:proofErr w:type="spellEnd"/>
            <w:r>
              <w:rPr>
                <w:rFonts w:ascii="Calibri" w:hAnsi="Calibri" w:cs="Arial"/>
                <w:lang w:val="en-US"/>
              </w:rPr>
              <w:t>-salt”</w:t>
            </w:r>
            <w:r w:rsidR="002C4529">
              <w:rPr>
                <w:rFonts w:ascii="Calibri" w:hAnsi="Calibri" w:cs="Arial"/>
                <w:lang w:val="en-US"/>
              </w:rPr>
              <w:t xml:space="preserve"> (because this is high in potassium).  </w:t>
            </w:r>
          </w:p>
          <w:p w14:paraId="0D59D376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4A121F99" w14:textId="694385D6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 w:rsidRPr="00710221">
              <w:rPr>
                <w:rFonts w:ascii="Calibri" w:hAnsi="Calibri" w:cs="Arial"/>
                <w:lang w:val="en-US"/>
              </w:rPr>
              <w:t xml:space="preserve">Patients should be advised that </w:t>
            </w:r>
            <w:r w:rsidR="001909E6">
              <w:rPr>
                <w:rFonts w:ascii="Calibri" w:hAnsi="Calibri" w:cs="Arial"/>
                <w:lang w:val="en-US"/>
              </w:rPr>
              <w:t xml:space="preserve">SZC </w:t>
            </w:r>
            <w:r w:rsidRPr="00710221">
              <w:rPr>
                <w:rFonts w:ascii="Calibri" w:hAnsi="Calibri" w:cs="Arial"/>
                <w:lang w:val="en-US"/>
              </w:rPr>
              <w:t xml:space="preserve">may be opaque to X-rays and if undergoing any abdominal </w:t>
            </w:r>
            <w:proofErr w:type="gramStart"/>
            <w:r w:rsidRPr="00710221">
              <w:rPr>
                <w:rFonts w:ascii="Calibri" w:hAnsi="Calibri" w:cs="Arial"/>
                <w:lang w:val="en-US"/>
              </w:rPr>
              <w:t>x-ray</w:t>
            </w:r>
            <w:proofErr w:type="gramEnd"/>
            <w:r w:rsidRPr="00710221">
              <w:rPr>
                <w:rFonts w:ascii="Calibri" w:hAnsi="Calibri" w:cs="Arial"/>
                <w:lang w:val="en-US"/>
              </w:rPr>
              <w:t xml:space="preserve"> they should let the radiographer know that they are on this drug.</w:t>
            </w:r>
          </w:p>
          <w:p w14:paraId="3453003B" w14:textId="77777777" w:rsidR="004427A4" w:rsidRPr="00757560" w:rsidRDefault="004427A4" w:rsidP="009463FF">
            <w:pPr>
              <w:jc w:val="both"/>
              <w:rPr>
                <w:rFonts w:ascii="Calibri" w:hAnsi="Calibri" w:cs="Arial"/>
              </w:rPr>
            </w:pPr>
          </w:p>
        </w:tc>
      </w:tr>
      <w:tr w:rsidR="00082BBD" w:rsidRPr="008D568E" w14:paraId="017F794D" w14:textId="77777777" w:rsidTr="002C452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68B" w14:textId="77777777" w:rsidR="00082BBD" w:rsidRPr="00082BBD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Drug Interactions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3436" w14:textId="5835612F" w:rsidR="004427A4" w:rsidRDefault="004427A4" w:rsidP="004427A4">
            <w:pPr>
              <w:jc w:val="both"/>
              <w:rPr>
                <w:rFonts w:ascii="Calibri" w:hAnsi="Calibri" w:cs="Arial"/>
              </w:rPr>
            </w:pPr>
            <w:r w:rsidRPr="001F184C">
              <w:rPr>
                <w:rFonts w:ascii="Calibri" w:hAnsi="Calibri" w:cs="Arial"/>
              </w:rPr>
              <w:t>A</w:t>
            </w:r>
            <w:r>
              <w:rPr>
                <w:rFonts w:ascii="Calibri" w:hAnsi="Calibri" w:cs="Arial"/>
              </w:rPr>
              <w:t xml:space="preserve">s </w:t>
            </w:r>
            <w:r w:rsidR="001909E6">
              <w:rPr>
                <w:rFonts w:ascii="Calibri" w:hAnsi="Calibri" w:cs="Arial"/>
                <w:lang w:val="en-US"/>
              </w:rPr>
              <w:t xml:space="preserve">SZC </w:t>
            </w:r>
            <w:r w:rsidRPr="001F184C">
              <w:rPr>
                <w:rFonts w:ascii="Calibri" w:hAnsi="Calibri" w:cs="Arial"/>
              </w:rPr>
              <w:t>is not absorbed or metabolised by the body, and does not meaningfully bind other medicinal products, there are limited effects on other medicinal products</w:t>
            </w:r>
            <w:r>
              <w:rPr>
                <w:rFonts w:ascii="Calibri" w:hAnsi="Calibri" w:cs="Arial"/>
              </w:rPr>
              <w:t xml:space="preserve">. </w:t>
            </w:r>
          </w:p>
          <w:p w14:paraId="5F61BA8E" w14:textId="77777777" w:rsidR="004427A4" w:rsidRDefault="004427A4" w:rsidP="004427A4">
            <w:pPr>
              <w:jc w:val="both"/>
              <w:rPr>
                <w:rFonts w:ascii="Calibri" w:hAnsi="Calibri" w:cs="Arial"/>
              </w:rPr>
            </w:pPr>
          </w:p>
          <w:p w14:paraId="433EC99B" w14:textId="77777777" w:rsidR="004427A4" w:rsidRDefault="004427A4" w:rsidP="004427A4">
            <w:p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 xml:space="preserve">SZC can transiently increase gastric pH by absorbing hydrogen ions and can lead to changes in solubility and absorption kinetics for co-administered medicinal products with pH-dependent bioavailability. These drugs should be administered 2 hours before or after SZC: </w:t>
            </w:r>
          </w:p>
          <w:p w14:paraId="5AC907FD" w14:textId="77777777" w:rsidR="004427A4" w:rsidRDefault="004427A4" w:rsidP="004427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 xml:space="preserve">antifungals (ketoconazole, itraconazole and posaconazole), </w:t>
            </w:r>
          </w:p>
          <w:p w14:paraId="6D445617" w14:textId="77777777" w:rsidR="004427A4" w:rsidRDefault="004427A4" w:rsidP="004427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>anti-HIV drugs (atazanavir, nelfinavir, indinavir, ritonavir, saquinavir, raltegravir,</w:t>
            </w:r>
            <w:r>
              <w:rPr>
                <w:rFonts w:ascii="Calibri" w:hAnsi="Calibri" w:cs="Arial"/>
              </w:rPr>
              <w:t xml:space="preserve"> ledipasvir and rilpivirine)</w:t>
            </w:r>
            <w:r w:rsidRPr="00AE3CD2">
              <w:rPr>
                <w:rFonts w:ascii="Calibri" w:hAnsi="Calibri" w:cs="Arial"/>
              </w:rPr>
              <w:t xml:space="preserve"> </w:t>
            </w:r>
          </w:p>
          <w:p w14:paraId="71A7A0BF" w14:textId="77777777" w:rsidR="004427A4" w:rsidRPr="00AE3CD2" w:rsidRDefault="004427A4" w:rsidP="004427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>tyrosine kinase inhibitors (erlotinib, dasatinib and nilotinib).</w:t>
            </w:r>
          </w:p>
          <w:p w14:paraId="46CEAAE9" w14:textId="77777777" w:rsidR="00082BBD" w:rsidRPr="00082BBD" w:rsidRDefault="00082BBD" w:rsidP="004427A4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125D2B7C" w14:textId="77777777"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462756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E19F" w14:textId="77777777" w:rsidR="00017D57" w:rsidRDefault="00017D57">
      <w:r>
        <w:separator/>
      </w:r>
    </w:p>
  </w:endnote>
  <w:endnote w:type="continuationSeparator" w:id="0">
    <w:p w14:paraId="33844014" w14:textId="77777777" w:rsidR="00017D57" w:rsidRDefault="0001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DD9E" w14:textId="39BB13FF" w:rsidR="00884FAA" w:rsidRDefault="00884FAA" w:rsidP="00884FAA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Tariq Farrah, Nephrologist &amp; Maggie Davidson</w:t>
    </w:r>
  </w:p>
  <w:p w14:paraId="49D0A8C0" w14:textId="77777777" w:rsidR="00884FAA" w:rsidRDefault="00884FAA" w:rsidP="00884FAA">
    <w:pPr>
      <w:pStyle w:val="Footer"/>
      <w:jc w:val="right"/>
      <w:rPr>
        <w:rFonts w:ascii="Calibri" w:hAnsi="Calibri"/>
        <w:i/>
        <w:sz w:val="20"/>
        <w:szCs w:val="20"/>
      </w:rPr>
    </w:pPr>
    <w:r w:rsidRPr="00F80228">
      <w:rPr>
        <w:rFonts w:ascii="Calibri" w:hAnsi="Calibri"/>
        <w:i/>
        <w:sz w:val="20"/>
        <w:szCs w:val="20"/>
      </w:rPr>
      <w:t>Reviewed by</w:t>
    </w:r>
    <w:r>
      <w:rPr>
        <w:rFonts w:ascii="Calibri" w:hAnsi="Calibri"/>
        <w:i/>
        <w:sz w:val="20"/>
        <w:szCs w:val="20"/>
      </w:rPr>
      <w:t>: Rob Hunter, Nephrologist; Maggie Davidson, Renal Pharmacist</w:t>
    </w:r>
  </w:p>
  <w:p w14:paraId="64E6B57C" w14:textId="77777777" w:rsidR="00884FAA" w:rsidRDefault="00884FAA" w:rsidP="00884FAA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Last reviewed: Mar 2026</w:t>
    </w:r>
  </w:p>
  <w:p w14:paraId="01CD5594" w14:textId="77777777" w:rsidR="00884FAA" w:rsidRDefault="00884FAA" w:rsidP="00884FAA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Next review date: Mar 2029</w:t>
    </w:r>
  </w:p>
  <w:p w14:paraId="1200CC1D" w14:textId="77777777" w:rsidR="00884FAA" w:rsidRDefault="00884FAA" w:rsidP="00884FAA">
    <w:pPr>
      <w:pStyle w:val="Footer"/>
      <w:jc w:val="right"/>
      <w:rPr>
        <w:rFonts w:ascii="Calibri" w:hAnsi="Calibri"/>
        <w:i/>
        <w:sz w:val="20"/>
        <w:szCs w:val="20"/>
      </w:rPr>
    </w:pPr>
  </w:p>
  <w:p w14:paraId="43A33007" w14:textId="77777777" w:rsidR="00884FAA" w:rsidRPr="003141D2" w:rsidRDefault="00884FAA" w:rsidP="00884FAA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noProof/>
        <w:sz w:val="16"/>
        <w:szCs w:val="16"/>
      </w:rPr>
      <w:t>18 March 2026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  <w:p w14:paraId="66765EEC" w14:textId="77777777" w:rsidR="00884FAA" w:rsidRPr="00F80228" w:rsidRDefault="00884FAA" w:rsidP="00884FAA">
    <w:pPr>
      <w:pStyle w:val="Footer"/>
      <w:jc w:val="right"/>
      <w:rPr>
        <w:rFonts w:ascii="Calibri" w:hAnsi="Calibri"/>
        <w:i/>
        <w:sz w:val="20"/>
        <w:szCs w:val="20"/>
      </w:rPr>
    </w:pPr>
  </w:p>
  <w:p w14:paraId="32B90D5B" w14:textId="77777777" w:rsidR="00265B19" w:rsidRPr="00884FAA" w:rsidRDefault="00265B19" w:rsidP="00884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0F8B" w14:textId="77777777" w:rsidR="00017D57" w:rsidRDefault="00017D57">
      <w:r>
        <w:separator/>
      </w:r>
    </w:p>
  </w:footnote>
  <w:footnote w:type="continuationSeparator" w:id="0">
    <w:p w14:paraId="5402D0F4" w14:textId="77777777" w:rsidR="00017D57" w:rsidRDefault="0001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C261F"/>
    <w:multiLevelType w:val="hybridMultilevel"/>
    <w:tmpl w:val="68EA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97037">
    <w:abstractNumId w:val="2"/>
  </w:num>
  <w:num w:numId="2" w16cid:durableId="1583173471">
    <w:abstractNumId w:val="0"/>
  </w:num>
  <w:num w:numId="3" w16cid:durableId="2107848792">
    <w:abstractNumId w:val="3"/>
  </w:num>
  <w:num w:numId="4" w16cid:durableId="1577088900">
    <w:abstractNumId w:val="4"/>
  </w:num>
  <w:num w:numId="5" w16cid:durableId="573517570">
    <w:abstractNumId w:val="1"/>
  </w:num>
  <w:num w:numId="6" w16cid:durableId="905452012">
    <w:abstractNumId w:val="7"/>
  </w:num>
  <w:num w:numId="7" w16cid:durableId="1794715297">
    <w:abstractNumId w:val="6"/>
  </w:num>
  <w:num w:numId="8" w16cid:durableId="1133711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7A"/>
    <w:rsid w:val="00017D57"/>
    <w:rsid w:val="00037DE0"/>
    <w:rsid w:val="00082BBD"/>
    <w:rsid w:val="00091619"/>
    <w:rsid w:val="000C15F1"/>
    <w:rsid w:val="000E6548"/>
    <w:rsid w:val="000E6E80"/>
    <w:rsid w:val="00160F26"/>
    <w:rsid w:val="00162578"/>
    <w:rsid w:val="001909E6"/>
    <w:rsid w:val="00190C0E"/>
    <w:rsid w:val="001A0FE3"/>
    <w:rsid w:val="001B6582"/>
    <w:rsid w:val="001F184C"/>
    <w:rsid w:val="00202975"/>
    <w:rsid w:val="002417A0"/>
    <w:rsid w:val="00265B19"/>
    <w:rsid w:val="00270525"/>
    <w:rsid w:val="00286AA7"/>
    <w:rsid w:val="00293B7B"/>
    <w:rsid w:val="002A1B2B"/>
    <w:rsid w:val="002C4529"/>
    <w:rsid w:val="002D460B"/>
    <w:rsid w:val="003407C5"/>
    <w:rsid w:val="00342D85"/>
    <w:rsid w:val="00350B93"/>
    <w:rsid w:val="0035107A"/>
    <w:rsid w:val="0036517C"/>
    <w:rsid w:val="003A6E9E"/>
    <w:rsid w:val="003B4A19"/>
    <w:rsid w:val="00435BBF"/>
    <w:rsid w:val="004427A4"/>
    <w:rsid w:val="00462756"/>
    <w:rsid w:val="004862E4"/>
    <w:rsid w:val="004E6F1D"/>
    <w:rsid w:val="005852F5"/>
    <w:rsid w:val="005B056B"/>
    <w:rsid w:val="005B6146"/>
    <w:rsid w:val="005C698A"/>
    <w:rsid w:val="005F044B"/>
    <w:rsid w:val="005F2C52"/>
    <w:rsid w:val="00611254"/>
    <w:rsid w:val="00615CF2"/>
    <w:rsid w:val="0062055E"/>
    <w:rsid w:val="00653258"/>
    <w:rsid w:val="00660929"/>
    <w:rsid w:val="00665703"/>
    <w:rsid w:val="006F0532"/>
    <w:rsid w:val="00710221"/>
    <w:rsid w:val="00724C51"/>
    <w:rsid w:val="00743E14"/>
    <w:rsid w:val="00753EE1"/>
    <w:rsid w:val="00757560"/>
    <w:rsid w:val="007639D7"/>
    <w:rsid w:val="007A7E70"/>
    <w:rsid w:val="007E270E"/>
    <w:rsid w:val="007F1988"/>
    <w:rsid w:val="008067C9"/>
    <w:rsid w:val="008145BE"/>
    <w:rsid w:val="00820749"/>
    <w:rsid w:val="00823D6C"/>
    <w:rsid w:val="00837406"/>
    <w:rsid w:val="00851040"/>
    <w:rsid w:val="00870C3D"/>
    <w:rsid w:val="008776DE"/>
    <w:rsid w:val="00884FAA"/>
    <w:rsid w:val="008A5BA6"/>
    <w:rsid w:val="008A6538"/>
    <w:rsid w:val="008C00C0"/>
    <w:rsid w:val="008C2429"/>
    <w:rsid w:val="008C7A93"/>
    <w:rsid w:val="008C7B2E"/>
    <w:rsid w:val="008D568E"/>
    <w:rsid w:val="008E09CB"/>
    <w:rsid w:val="008F40E0"/>
    <w:rsid w:val="009007B7"/>
    <w:rsid w:val="009463FF"/>
    <w:rsid w:val="00961DD2"/>
    <w:rsid w:val="00967F8B"/>
    <w:rsid w:val="00972E28"/>
    <w:rsid w:val="0098553F"/>
    <w:rsid w:val="009A3735"/>
    <w:rsid w:val="009E3084"/>
    <w:rsid w:val="009E30D2"/>
    <w:rsid w:val="00A04FB3"/>
    <w:rsid w:val="00A34F56"/>
    <w:rsid w:val="00A378FB"/>
    <w:rsid w:val="00A4303E"/>
    <w:rsid w:val="00A71505"/>
    <w:rsid w:val="00A85095"/>
    <w:rsid w:val="00A8712D"/>
    <w:rsid w:val="00A95C43"/>
    <w:rsid w:val="00AE3CD2"/>
    <w:rsid w:val="00B13A0F"/>
    <w:rsid w:val="00B62256"/>
    <w:rsid w:val="00B85BAC"/>
    <w:rsid w:val="00BA2823"/>
    <w:rsid w:val="00BC42D0"/>
    <w:rsid w:val="00BD2467"/>
    <w:rsid w:val="00BF44DD"/>
    <w:rsid w:val="00BF70E6"/>
    <w:rsid w:val="00C80071"/>
    <w:rsid w:val="00CA1BC0"/>
    <w:rsid w:val="00CB5503"/>
    <w:rsid w:val="00CE4E83"/>
    <w:rsid w:val="00D15AC8"/>
    <w:rsid w:val="00D20563"/>
    <w:rsid w:val="00D61F18"/>
    <w:rsid w:val="00D70C8E"/>
    <w:rsid w:val="00D7277C"/>
    <w:rsid w:val="00E12BDD"/>
    <w:rsid w:val="00E35485"/>
    <w:rsid w:val="00E5750E"/>
    <w:rsid w:val="00E6232B"/>
    <w:rsid w:val="00EA5478"/>
    <w:rsid w:val="00EB1224"/>
    <w:rsid w:val="00ED237E"/>
    <w:rsid w:val="00EE45BC"/>
    <w:rsid w:val="00EE62FF"/>
    <w:rsid w:val="00F01B82"/>
    <w:rsid w:val="00F80228"/>
    <w:rsid w:val="00FA3A96"/>
    <w:rsid w:val="00FB22F0"/>
    <w:rsid w:val="00FC6D8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AA05CF"/>
  <w15:docId w15:val="{E1D764C5-0157-4B4B-8111-E54A43E9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417A0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2C4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ren.org/ren/handbook/unithdbk/fluids-and-electrolytes/hyperkalaem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ren.org/ren/handbook/unithdbk/fluids-and-electrolytes/hyperkalaemi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5</cp:revision>
  <cp:lastPrinted>2017-05-31T17:21:00Z</cp:lastPrinted>
  <dcterms:created xsi:type="dcterms:W3CDTF">2023-10-25T15:38:00Z</dcterms:created>
  <dcterms:modified xsi:type="dcterms:W3CDTF">2026-03-18T12:08:00Z</dcterms:modified>
</cp:coreProperties>
</file>