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07"/>
        <w:tblW w:w="889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4"/>
      </w:tblGrid>
      <w:tr w:rsidR="005F044B" w14:paraId="796698CF" w14:textId="77777777" w:rsidTr="00972E28">
        <w:trPr>
          <w:trHeight w:val="1258"/>
        </w:trPr>
        <w:tc>
          <w:tcPr>
            <w:tcW w:w="8894" w:type="dxa"/>
          </w:tcPr>
          <w:p w14:paraId="5CE94B16" w14:textId="77777777" w:rsidR="005F044B" w:rsidRDefault="00160F26" w:rsidP="00972E2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E9E7C2F" wp14:editId="410EE7EC">
                  <wp:simplePos x="0" y="0"/>
                  <wp:positionH relativeFrom="column">
                    <wp:posOffset>4703097</wp:posOffset>
                  </wp:positionH>
                  <wp:positionV relativeFrom="paragraph">
                    <wp:posOffset>164</wp:posOffset>
                  </wp:positionV>
                  <wp:extent cx="876300" cy="690245"/>
                  <wp:effectExtent l="19050" t="0" r="0" b="0"/>
                  <wp:wrapTight wrapText="bothSides">
                    <wp:wrapPolygon edited="0">
                      <wp:start x="-470" y="0"/>
                      <wp:lineTo x="-470" y="20865"/>
                      <wp:lineTo x="21600" y="20865"/>
                      <wp:lineTo x="21600" y="0"/>
                      <wp:lineTo x="-47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13043" b="8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F044B">
              <w:rPr>
                <w:rFonts w:ascii="Calibri" w:hAnsi="Calibri" w:cs="Arial"/>
                <w:sz w:val="28"/>
                <w:szCs w:val="28"/>
              </w:rPr>
              <w:t>Renal Directorate Guidelines</w:t>
            </w:r>
          </w:p>
          <w:p w14:paraId="7CF26055" w14:textId="77777777" w:rsidR="005F044B" w:rsidRPr="00972E28" w:rsidRDefault="005F044B" w:rsidP="00972E2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Royal Infirmary of Edinburgh</w:t>
            </w:r>
          </w:p>
        </w:tc>
      </w:tr>
    </w:tbl>
    <w:p w14:paraId="700127D2" w14:textId="160409A6" w:rsidR="005F044B" w:rsidRDefault="001B6582" w:rsidP="00972E28">
      <w:pPr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Sodium Zirconium Cyclosilicate</w:t>
      </w:r>
      <w:r w:rsidR="00D7277C">
        <w:rPr>
          <w:rFonts w:ascii="Calibri" w:hAnsi="Calibri" w:cs="Arial"/>
          <w:b/>
          <w:sz w:val="32"/>
          <w:szCs w:val="32"/>
        </w:rPr>
        <w:t xml:space="preserve"> (</w:t>
      </w:r>
      <w:proofErr w:type="spellStart"/>
      <w:r w:rsidR="00D7277C">
        <w:rPr>
          <w:rFonts w:ascii="Calibri" w:hAnsi="Calibri" w:cs="Arial"/>
          <w:b/>
          <w:sz w:val="32"/>
          <w:szCs w:val="32"/>
        </w:rPr>
        <w:t>Lokelma</w:t>
      </w:r>
      <w:proofErr w:type="spellEnd"/>
      <w:r w:rsidR="00D7277C">
        <w:rPr>
          <w:rFonts w:ascii="Calibri" w:hAnsi="Calibri" w:cs="Arial"/>
          <w:b/>
          <w:sz w:val="32"/>
          <w:szCs w:val="32"/>
        </w:rPr>
        <w:t>®)</w:t>
      </w:r>
      <w:r w:rsidR="006C313D">
        <w:rPr>
          <w:rFonts w:ascii="Calibri" w:hAnsi="Calibri" w:cs="Arial"/>
          <w:b/>
          <w:sz w:val="32"/>
          <w:szCs w:val="32"/>
        </w:rPr>
        <w:t xml:space="preserve"> – CHRONIC USE</w:t>
      </w:r>
    </w:p>
    <w:p w14:paraId="77618F68" w14:textId="77777777" w:rsidR="00A04FB3" w:rsidRPr="00265B19" w:rsidRDefault="00A04FB3" w:rsidP="00972E28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7371"/>
      </w:tblGrid>
      <w:tr w:rsidR="00753EE1" w:rsidRPr="00E12BDD" w14:paraId="127D8EF6" w14:textId="77777777" w:rsidTr="00E62277">
        <w:tc>
          <w:tcPr>
            <w:tcW w:w="2410" w:type="dxa"/>
          </w:tcPr>
          <w:p w14:paraId="74C78D2D" w14:textId="77777777" w:rsidR="00753EE1" w:rsidRPr="00823D6C" w:rsidRDefault="00753EE1" w:rsidP="009E30D2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Indication</w:t>
            </w:r>
            <w:r>
              <w:rPr>
                <w:rFonts w:ascii="Calibri" w:hAnsi="Calibri" w:cs="Arial"/>
                <w:b/>
              </w:rPr>
              <w:t xml:space="preserve"> and additional Information</w:t>
            </w:r>
          </w:p>
        </w:tc>
        <w:tc>
          <w:tcPr>
            <w:tcW w:w="7371" w:type="dxa"/>
          </w:tcPr>
          <w:p w14:paraId="267FF60E" w14:textId="77777777" w:rsidR="00753EE1" w:rsidRDefault="00753EE1" w:rsidP="00753EE1">
            <w:pPr>
              <w:pStyle w:val="BlockText"/>
              <w:ind w:left="0" w:right="-79"/>
              <w:rPr>
                <w:rFonts w:ascii="Calibri" w:hAnsi="Calibri"/>
                <w:b/>
                <w:iCs/>
              </w:rPr>
            </w:pPr>
            <w:r w:rsidRPr="00753EE1">
              <w:rPr>
                <w:rFonts w:ascii="Calibri" w:hAnsi="Calibri"/>
                <w:b/>
                <w:iCs/>
              </w:rPr>
              <w:t>Chronic hyperkalaemia despite optimal adjunctive therapy in adults with chronic kidney disease (CKD) to facilitate maximum renin-angiotensin-aldosterone system (RAAS) blockade.</w:t>
            </w:r>
          </w:p>
          <w:p w14:paraId="160F308F" w14:textId="77777777" w:rsidR="00753EE1" w:rsidRDefault="00753EE1" w:rsidP="00753EE1">
            <w:pPr>
              <w:pStyle w:val="BlockText"/>
              <w:ind w:left="0" w:right="-79"/>
              <w:rPr>
                <w:rFonts w:ascii="Calibri" w:hAnsi="Calibri"/>
                <w:b/>
                <w:iCs/>
              </w:rPr>
            </w:pPr>
          </w:p>
          <w:p w14:paraId="0A7D04E9" w14:textId="07C952F1" w:rsidR="00753EE1" w:rsidRDefault="006C313D" w:rsidP="00753EE1">
            <w:pPr>
              <w:pStyle w:val="BlockText"/>
              <w:ind w:left="0" w:right="-79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iCs/>
              </w:rPr>
              <w:t>T</w:t>
            </w:r>
            <w:r w:rsidR="00753EE1" w:rsidRPr="00753EE1">
              <w:rPr>
                <w:rFonts w:ascii="Calibri" w:hAnsi="Calibri"/>
                <w:iCs/>
              </w:rPr>
              <w:t>he Scottish Medicines Consortium accepted SZC for restricted use “in patients with CKD stage 3b to 5 and/or heart failure w</w:t>
            </w:r>
            <w:r w:rsidR="00BF44DD">
              <w:rPr>
                <w:rFonts w:ascii="Calibri" w:hAnsi="Calibri"/>
                <w:iCs/>
              </w:rPr>
              <w:t xml:space="preserve">ho would otherwise need to lower or stop </w:t>
            </w:r>
            <w:r w:rsidR="00753EE1" w:rsidRPr="00753EE1">
              <w:rPr>
                <w:rFonts w:ascii="Calibri" w:hAnsi="Calibri"/>
                <w:iCs/>
              </w:rPr>
              <w:t>a renin-angiotensin-aldosterone system inhibitor, so that their blood potassium is kept at a normal level.”</w:t>
            </w:r>
          </w:p>
          <w:p w14:paraId="79321C88" w14:textId="77777777" w:rsidR="00753EE1" w:rsidRDefault="00753EE1" w:rsidP="00753EE1">
            <w:pPr>
              <w:pStyle w:val="BlockText"/>
              <w:ind w:left="0" w:right="-79"/>
              <w:rPr>
                <w:rFonts w:ascii="Calibri" w:hAnsi="Calibri"/>
                <w:b/>
                <w:iCs/>
              </w:rPr>
            </w:pPr>
          </w:p>
        </w:tc>
      </w:tr>
      <w:tr w:rsidR="004427A4" w:rsidRPr="00E12BDD" w14:paraId="45DA1279" w14:textId="77777777" w:rsidTr="00E62277">
        <w:tc>
          <w:tcPr>
            <w:tcW w:w="2410" w:type="dxa"/>
          </w:tcPr>
          <w:p w14:paraId="75E22916" w14:textId="77777777" w:rsidR="004427A4" w:rsidRPr="00823D6C" w:rsidRDefault="004427A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Criteria for treatment</w:t>
            </w:r>
          </w:p>
        </w:tc>
        <w:tc>
          <w:tcPr>
            <w:tcW w:w="7371" w:type="dxa"/>
          </w:tcPr>
          <w:p w14:paraId="004F3A44" w14:textId="77777777" w:rsidR="004427A4" w:rsidRPr="00BC42D0" w:rsidRDefault="004427A4" w:rsidP="004427A4">
            <w:pPr>
              <w:pStyle w:val="BlockText"/>
              <w:ind w:left="0" w:right="-79"/>
              <w:rPr>
                <w:rFonts w:ascii="Calibri" w:hAnsi="Calibri" w:cs="Arial"/>
                <w:b/>
              </w:rPr>
            </w:pPr>
            <w:r w:rsidRPr="00BC42D0">
              <w:rPr>
                <w:rFonts w:ascii="Calibri" w:hAnsi="Calibri" w:cs="Arial"/>
                <w:b/>
              </w:rPr>
              <w:t>Inclusion criteria</w:t>
            </w:r>
          </w:p>
          <w:p w14:paraId="58EA23E7" w14:textId="0071FDF5" w:rsidR="004427A4" w:rsidRPr="00BC42D0" w:rsidRDefault="006C313D" w:rsidP="004427A4">
            <w:pPr>
              <w:pStyle w:val="BlockText"/>
              <w:numPr>
                <w:ilvl w:val="0"/>
                <w:numId w:val="3"/>
              </w:numPr>
              <w:ind w:right="-79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>a</w:t>
            </w:r>
            <w:r w:rsidR="004427A4" w:rsidRPr="00BC42D0">
              <w:rPr>
                <w:rFonts w:ascii="Calibri" w:hAnsi="Calibri" w:cs="Arial"/>
              </w:rPr>
              <w:t>dult patient</w:t>
            </w:r>
            <w:r w:rsidR="004427A4">
              <w:rPr>
                <w:rFonts w:ascii="Calibri" w:hAnsi="Calibri" w:cs="Arial"/>
              </w:rPr>
              <w:t xml:space="preserve"> attending</w:t>
            </w:r>
            <w:r w:rsidR="004427A4" w:rsidRPr="00BC42D0">
              <w:rPr>
                <w:rFonts w:ascii="Calibri" w:hAnsi="Calibri" w:cs="Arial"/>
              </w:rPr>
              <w:t xml:space="preserve"> nephrology clinic in NHS Lothian</w:t>
            </w:r>
          </w:p>
          <w:p w14:paraId="51344956" w14:textId="651B3A04" w:rsidR="004427A4" w:rsidRDefault="006C313D" w:rsidP="004C4227">
            <w:pPr>
              <w:pStyle w:val="BlockText"/>
              <w:numPr>
                <w:ilvl w:val="0"/>
                <w:numId w:val="3"/>
              </w:numPr>
              <w:ind w:right="-79"/>
              <w:rPr>
                <w:rFonts w:ascii="Calibri" w:hAnsi="Calibri" w:cs="Arial"/>
              </w:rPr>
            </w:pPr>
            <w:r w:rsidRPr="006C313D">
              <w:rPr>
                <w:rFonts w:ascii="Calibri" w:hAnsi="Calibri" w:cs="Arial"/>
              </w:rPr>
              <w:t>and</w:t>
            </w:r>
            <w:r w:rsidR="004427A4" w:rsidRPr="006C313D">
              <w:rPr>
                <w:rFonts w:ascii="Calibri" w:hAnsi="Calibri" w:cs="Arial"/>
              </w:rPr>
              <w:t xml:space="preserve"> CKD stage 3</w:t>
            </w:r>
            <w:r>
              <w:rPr>
                <w:rFonts w:ascii="Calibri" w:hAnsi="Calibri" w:cs="Arial"/>
              </w:rPr>
              <w:t>b</w:t>
            </w:r>
            <w:r w:rsidR="004427A4" w:rsidRPr="006C313D">
              <w:rPr>
                <w:rFonts w:ascii="Calibri" w:hAnsi="Calibri" w:cs="Arial"/>
              </w:rPr>
              <w:t xml:space="preserve"> to 5 </w:t>
            </w:r>
            <w:r w:rsidRPr="006C313D">
              <w:rPr>
                <w:rFonts w:ascii="Calibri" w:hAnsi="Calibri" w:cs="Arial"/>
              </w:rPr>
              <w:t>with</w:t>
            </w:r>
            <w:r w:rsidR="004427A4" w:rsidRPr="006C313D">
              <w:rPr>
                <w:rFonts w:ascii="Calibri" w:hAnsi="Calibri" w:cs="Arial"/>
              </w:rPr>
              <w:t xml:space="preserve"> </w:t>
            </w:r>
            <w:r w:rsidRPr="006C313D">
              <w:rPr>
                <w:rFonts w:ascii="Calibri" w:hAnsi="Calibri" w:cs="Arial"/>
              </w:rPr>
              <w:t xml:space="preserve">a compelling indication for RAAS blockade (e.g. </w:t>
            </w:r>
            <w:r w:rsidR="004427A4" w:rsidRPr="006C313D">
              <w:rPr>
                <w:rFonts w:ascii="Calibri" w:hAnsi="Calibri" w:cs="Arial"/>
              </w:rPr>
              <w:t xml:space="preserve">proteinuria </w:t>
            </w:r>
            <w:r w:rsidRPr="006C313D">
              <w:rPr>
                <w:rFonts w:ascii="Calibri" w:hAnsi="Calibri" w:cs="Arial"/>
              </w:rPr>
              <w:t>or heart failure)</w:t>
            </w:r>
          </w:p>
          <w:p w14:paraId="3516482E" w14:textId="77777777" w:rsidR="006C313D" w:rsidRDefault="006C313D" w:rsidP="006C313D">
            <w:pPr>
              <w:pStyle w:val="BlockText"/>
              <w:ind w:left="0" w:right="-79"/>
              <w:rPr>
                <w:rFonts w:ascii="Calibri" w:hAnsi="Calibri" w:cs="Arial"/>
              </w:rPr>
            </w:pPr>
          </w:p>
          <w:p w14:paraId="47294177" w14:textId="617C6D37" w:rsidR="006C313D" w:rsidRPr="006C313D" w:rsidRDefault="006C313D" w:rsidP="006C313D">
            <w:pPr>
              <w:pStyle w:val="BlockText"/>
              <w:ind w:left="0" w:right="-79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Prior to initiation, ensure good attempts to optimise potassium level through dietary advice, correction of acidosis and hyperglycaemia, use of loop and thiazide diuretics etc.  </w:t>
            </w:r>
          </w:p>
          <w:p w14:paraId="314EB114" w14:textId="7D76B47D" w:rsidR="004427A4" w:rsidRPr="004427A4" w:rsidRDefault="004427A4" w:rsidP="006C313D">
            <w:pPr>
              <w:pStyle w:val="BlockText"/>
              <w:ind w:left="0" w:right="-79"/>
              <w:rPr>
                <w:rFonts w:ascii="Calibri" w:hAnsi="Calibri" w:cs="Arial"/>
              </w:rPr>
            </w:pPr>
          </w:p>
          <w:p w14:paraId="32EC1087" w14:textId="77777777" w:rsidR="004427A4" w:rsidRPr="00BC42D0" w:rsidRDefault="004427A4" w:rsidP="004427A4">
            <w:pPr>
              <w:pStyle w:val="BlockText"/>
              <w:ind w:left="0" w:right="-79"/>
              <w:rPr>
                <w:rFonts w:ascii="Calibri" w:hAnsi="Calibri" w:cs="Arial"/>
                <w:b/>
              </w:rPr>
            </w:pPr>
            <w:r w:rsidRPr="00BC42D0">
              <w:rPr>
                <w:rFonts w:ascii="Calibri" w:hAnsi="Calibri" w:cs="Arial"/>
                <w:b/>
              </w:rPr>
              <w:t>Exclusion criteria</w:t>
            </w:r>
          </w:p>
          <w:p w14:paraId="2542DC3B" w14:textId="624085A8" w:rsidR="004427A4" w:rsidRPr="008776DE" w:rsidRDefault="004427A4" w:rsidP="004427A4">
            <w:pPr>
              <w:pStyle w:val="BlockText"/>
              <w:numPr>
                <w:ilvl w:val="0"/>
                <w:numId w:val="5"/>
              </w:numPr>
              <w:ind w:right="-79"/>
              <w:rPr>
                <w:rFonts w:ascii="Calibri" w:hAnsi="Calibri" w:cs="Arial"/>
                <w:b/>
              </w:rPr>
            </w:pPr>
            <w:r w:rsidRPr="00BC42D0">
              <w:rPr>
                <w:rFonts w:ascii="Calibri" w:hAnsi="Calibri" w:cs="Arial"/>
              </w:rPr>
              <w:t>Acute hyperkalaemia in acute kidney injury</w:t>
            </w:r>
            <w:r w:rsidR="006C313D">
              <w:rPr>
                <w:rFonts w:ascii="Calibri" w:hAnsi="Calibri" w:cs="Arial"/>
              </w:rPr>
              <w:t xml:space="preserve"> (follow acute protocol instead)</w:t>
            </w:r>
          </w:p>
          <w:p w14:paraId="682E55F2" w14:textId="77777777" w:rsidR="004427A4" w:rsidRDefault="004427A4" w:rsidP="004427A4">
            <w:pPr>
              <w:pStyle w:val="BlockText"/>
              <w:numPr>
                <w:ilvl w:val="0"/>
                <w:numId w:val="4"/>
              </w:numPr>
              <w:ind w:right="-79"/>
              <w:rPr>
                <w:rFonts w:ascii="Calibri" w:hAnsi="Calibri" w:cs="Arial"/>
              </w:rPr>
            </w:pPr>
            <w:r w:rsidRPr="00BC42D0">
              <w:rPr>
                <w:rFonts w:ascii="Calibri" w:hAnsi="Calibri" w:cs="Arial"/>
              </w:rPr>
              <w:t>Gastrointestinal motility disorders</w:t>
            </w:r>
          </w:p>
          <w:p w14:paraId="54A41498" w14:textId="6263D7F0" w:rsidR="004427A4" w:rsidRPr="00BC42D0" w:rsidRDefault="00E62277" w:rsidP="004427A4">
            <w:pPr>
              <w:pStyle w:val="BlockText"/>
              <w:numPr>
                <w:ilvl w:val="0"/>
                <w:numId w:val="4"/>
              </w:numPr>
              <w:ind w:right="-79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People</w:t>
            </w:r>
            <w:r w:rsidR="004427A4">
              <w:rPr>
                <w:rFonts w:ascii="Calibri" w:hAnsi="Calibri" w:cs="Arial"/>
              </w:rPr>
              <w:t xml:space="preserve"> of childbearing age who may become pregnant</w:t>
            </w:r>
          </w:p>
          <w:p w14:paraId="35B6EE20" w14:textId="77777777" w:rsidR="004427A4" w:rsidRPr="00753EE1" w:rsidRDefault="004427A4" w:rsidP="00753EE1">
            <w:pPr>
              <w:pStyle w:val="BlockText"/>
              <w:ind w:left="0" w:right="-79"/>
              <w:rPr>
                <w:rFonts w:ascii="Calibri" w:hAnsi="Calibri"/>
                <w:b/>
                <w:iCs/>
              </w:rPr>
            </w:pPr>
          </w:p>
        </w:tc>
      </w:tr>
      <w:tr w:rsidR="005F044B" w:rsidRPr="00E12BDD" w14:paraId="070BF163" w14:textId="77777777" w:rsidTr="00E62277">
        <w:tc>
          <w:tcPr>
            <w:tcW w:w="2410" w:type="dxa"/>
          </w:tcPr>
          <w:p w14:paraId="5A03856C" w14:textId="77777777" w:rsidR="005F044B" w:rsidRPr="00823D6C" w:rsidRDefault="005F044B" w:rsidP="009E30D2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Dosage and administration</w:t>
            </w:r>
          </w:p>
        </w:tc>
        <w:tc>
          <w:tcPr>
            <w:tcW w:w="7371" w:type="dxa"/>
          </w:tcPr>
          <w:p w14:paraId="5422556D" w14:textId="77777777" w:rsidR="00F01B82" w:rsidRPr="00F01B82" w:rsidRDefault="00CA1BC0" w:rsidP="009463FF">
            <w:pPr>
              <w:pStyle w:val="BlockText"/>
              <w:ind w:left="0" w:right="-79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Available Preparations</w:t>
            </w:r>
          </w:p>
          <w:p w14:paraId="44342498" w14:textId="77777777" w:rsidR="00CA1BC0" w:rsidRDefault="00CA1BC0" w:rsidP="009463FF">
            <w:pPr>
              <w:pStyle w:val="BlockText"/>
              <w:ind w:left="0" w:right="-79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10g powder for oral suspension</w:t>
            </w:r>
            <w:r w:rsidR="00F01B82" w:rsidRPr="00F01B82">
              <w:rPr>
                <w:rFonts w:ascii="Calibri" w:hAnsi="Calibri"/>
                <w:iCs/>
              </w:rPr>
              <w:t xml:space="preserve"> x </w:t>
            </w:r>
            <w:r>
              <w:rPr>
                <w:rFonts w:ascii="Calibri" w:hAnsi="Calibri"/>
                <w:iCs/>
              </w:rPr>
              <w:t>3</w:t>
            </w:r>
          </w:p>
          <w:p w14:paraId="1F6CA793" w14:textId="77777777" w:rsidR="00CA1BC0" w:rsidRDefault="00CA1BC0" w:rsidP="009463FF">
            <w:pPr>
              <w:pStyle w:val="BlockText"/>
              <w:ind w:left="0" w:right="-79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10g powder for oral suspension x 30</w:t>
            </w:r>
          </w:p>
          <w:p w14:paraId="26656967" w14:textId="77777777" w:rsidR="00F01B82" w:rsidRPr="00F01B82" w:rsidRDefault="00CA1BC0" w:rsidP="009463FF">
            <w:pPr>
              <w:pStyle w:val="BlockText"/>
              <w:ind w:left="0" w:right="-79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5g powder for oral suspension</w:t>
            </w:r>
            <w:r w:rsidR="00F01B82" w:rsidRPr="00F01B82">
              <w:rPr>
                <w:rFonts w:ascii="Calibri" w:hAnsi="Calibri"/>
                <w:iCs/>
              </w:rPr>
              <w:t xml:space="preserve"> x 30</w:t>
            </w:r>
          </w:p>
          <w:p w14:paraId="1B895456" w14:textId="77777777" w:rsidR="00F01B82" w:rsidRDefault="00F01B82" w:rsidP="009463FF">
            <w:pPr>
              <w:pStyle w:val="BlockText"/>
              <w:ind w:left="0" w:right="-79"/>
              <w:rPr>
                <w:rFonts w:ascii="Calibri" w:hAnsi="Calibri"/>
                <w:b/>
                <w:i/>
                <w:iCs/>
              </w:rPr>
            </w:pPr>
          </w:p>
          <w:p w14:paraId="7E751864" w14:textId="6CF7757E" w:rsidR="001B6582" w:rsidRPr="00F01B82" w:rsidRDefault="001B6582" w:rsidP="009463FF">
            <w:pPr>
              <w:pStyle w:val="BlockText"/>
              <w:ind w:left="0" w:right="-79"/>
              <w:rPr>
                <w:rFonts w:ascii="Calibri" w:hAnsi="Calibri"/>
                <w:b/>
              </w:rPr>
            </w:pPr>
            <w:r w:rsidRPr="00F01B82">
              <w:rPr>
                <w:rFonts w:ascii="Calibri" w:hAnsi="Calibri"/>
                <w:b/>
                <w:iCs/>
              </w:rPr>
              <w:t>Correction phase</w:t>
            </w:r>
          </w:p>
          <w:p w14:paraId="6D35BA86" w14:textId="77777777" w:rsidR="001B6582" w:rsidRPr="001B6582" w:rsidRDefault="00FE165A" w:rsidP="009463FF">
            <w:pPr>
              <w:pStyle w:val="BlockText"/>
              <w:ind w:left="0" w:right="-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10g three times daily</w:t>
            </w:r>
            <w:r w:rsidR="00A04FB3">
              <w:rPr>
                <w:rFonts w:ascii="Calibri" w:hAnsi="Calibri"/>
              </w:rPr>
              <w:t xml:space="preserve"> </w:t>
            </w:r>
            <w:r w:rsidR="001B6582" w:rsidRPr="001B6582">
              <w:rPr>
                <w:rFonts w:ascii="Calibri" w:hAnsi="Calibri"/>
              </w:rPr>
              <w:t>admin</w:t>
            </w:r>
            <w:r w:rsidR="00A04FB3">
              <w:rPr>
                <w:rFonts w:ascii="Calibri" w:hAnsi="Calibri"/>
              </w:rPr>
              <w:t xml:space="preserve">istered </w:t>
            </w:r>
            <w:r w:rsidR="001B6582" w:rsidRPr="001B6582">
              <w:rPr>
                <w:rFonts w:ascii="Calibri" w:hAnsi="Calibri"/>
              </w:rPr>
              <w:t>as a</w:t>
            </w:r>
            <w:r w:rsidR="00A04FB3">
              <w:rPr>
                <w:rFonts w:ascii="Calibri" w:hAnsi="Calibri"/>
              </w:rPr>
              <w:t xml:space="preserve">n oral suspension in water. </w:t>
            </w:r>
            <w:r w:rsidR="001B6582" w:rsidRPr="001B6582">
              <w:rPr>
                <w:rFonts w:ascii="Calibri" w:hAnsi="Calibri"/>
              </w:rPr>
              <w:t>When normokalaemia is achieved</w:t>
            </w:r>
            <w:r w:rsidR="001B6582">
              <w:rPr>
                <w:rFonts w:ascii="Calibri" w:hAnsi="Calibri"/>
              </w:rPr>
              <w:t xml:space="preserve"> (</w:t>
            </w:r>
            <w:r w:rsidR="00A04FB3">
              <w:rPr>
                <w:rFonts w:ascii="Calibri" w:hAnsi="Calibri"/>
              </w:rPr>
              <w:t xml:space="preserve">typically after </w:t>
            </w:r>
            <w:r w:rsidR="001B6582">
              <w:rPr>
                <w:rFonts w:ascii="Calibri" w:hAnsi="Calibri"/>
              </w:rPr>
              <w:t>24-</w:t>
            </w:r>
            <w:r w:rsidR="00A04FB3">
              <w:rPr>
                <w:rFonts w:ascii="Calibri" w:hAnsi="Calibri"/>
              </w:rPr>
              <w:t>48 hours)</w:t>
            </w:r>
            <w:r w:rsidR="001B6582" w:rsidRPr="001B6582">
              <w:rPr>
                <w:rFonts w:ascii="Calibri" w:hAnsi="Calibri"/>
              </w:rPr>
              <w:t xml:space="preserve"> the maintenance regimen </w:t>
            </w:r>
            <w:r w:rsidR="001B6582">
              <w:rPr>
                <w:rFonts w:ascii="Calibri" w:hAnsi="Calibri"/>
              </w:rPr>
              <w:t>should be followed.</w:t>
            </w:r>
          </w:p>
          <w:p w14:paraId="41418CCF" w14:textId="77777777" w:rsidR="00A04FB3" w:rsidRDefault="001B6582" w:rsidP="009463FF">
            <w:pPr>
              <w:pStyle w:val="BlockText"/>
              <w:ind w:left="0" w:right="-79"/>
              <w:rPr>
                <w:rFonts w:ascii="Calibri" w:hAnsi="Calibri"/>
              </w:rPr>
            </w:pPr>
            <w:r w:rsidRPr="001B6582">
              <w:rPr>
                <w:rFonts w:ascii="Calibri" w:hAnsi="Calibri"/>
              </w:rPr>
              <w:t xml:space="preserve">If patients are still hyperkalaemic after </w:t>
            </w:r>
            <w:r w:rsidR="00A04FB3">
              <w:rPr>
                <w:rFonts w:ascii="Calibri" w:hAnsi="Calibri"/>
              </w:rPr>
              <w:t xml:space="preserve">48 hours continue the same dose for an </w:t>
            </w:r>
            <w:r w:rsidRPr="001B6582">
              <w:rPr>
                <w:rFonts w:ascii="Calibri" w:hAnsi="Calibri"/>
              </w:rPr>
              <w:t>additional 24 hours. If normokalaemia is not achieved after 72 hou</w:t>
            </w:r>
            <w:r w:rsidR="00A04FB3">
              <w:rPr>
                <w:rFonts w:ascii="Calibri" w:hAnsi="Calibri"/>
              </w:rPr>
              <w:t>rs of treatment, discontinue.</w:t>
            </w:r>
          </w:p>
          <w:p w14:paraId="0AC3AADB" w14:textId="77777777" w:rsidR="00A04FB3" w:rsidRDefault="00A04FB3" w:rsidP="009463FF">
            <w:pPr>
              <w:pStyle w:val="BlockText"/>
              <w:ind w:left="0" w:right="-79"/>
              <w:rPr>
                <w:rFonts w:ascii="Calibri" w:hAnsi="Calibri"/>
              </w:rPr>
            </w:pPr>
          </w:p>
          <w:p w14:paraId="0F7E5C3E" w14:textId="77777777" w:rsidR="001B6582" w:rsidRPr="00F01B82" w:rsidRDefault="001B6582" w:rsidP="009463FF">
            <w:pPr>
              <w:pStyle w:val="BlockText"/>
              <w:ind w:left="0" w:right="-79"/>
              <w:rPr>
                <w:rFonts w:ascii="Calibri" w:hAnsi="Calibri"/>
                <w:b/>
              </w:rPr>
            </w:pPr>
            <w:r w:rsidRPr="00F01B82">
              <w:rPr>
                <w:rFonts w:ascii="Calibri" w:hAnsi="Calibri"/>
                <w:b/>
                <w:iCs/>
              </w:rPr>
              <w:t>Maintenance phase</w:t>
            </w:r>
            <w:r w:rsidRPr="00F01B82">
              <w:rPr>
                <w:rFonts w:ascii="Calibri" w:hAnsi="Calibri"/>
                <w:b/>
              </w:rPr>
              <w:t xml:space="preserve"> </w:t>
            </w:r>
          </w:p>
          <w:p w14:paraId="7DA57157" w14:textId="77777777" w:rsidR="00A04FB3" w:rsidRDefault="009463FF" w:rsidP="009463FF">
            <w:pPr>
              <w:pStyle w:val="BlockText"/>
              <w:ind w:left="0" w:right="-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5</w:t>
            </w:r>
            <w:r w:rsidR="00A04FB3">
              <w:rPr>
                <w:rFonts w:ascii="Calibri" w:hAnsi="Calibri"/>
              </w:rPr>
              <w:t>g once da</w:t>
            </w:r>
            <w:r>
              <w:rPr>
                <w:rFonts w:ascii="Calibri" w:hAnsi="Calibri"/>
              </w:rPr>
              <w:t xml:space="preserve">ily starting dose. Dose range: </w:t>
            </w:r>
            <w:r w:rsidR="00A04FB3">
              <w:rPr>
                <w:rFonts w:ascii="Calibri" w:hAnsi="Calibri"/>
              </w:rPr>
              <w:t>5g</w:t>
            </w:r>
            <w:r w:rsidR="00710221">
              <w:rPr>
                <w:rFonts w:ascii="Calibri" w:hAnsi="Calibri"/>
              </w:rPr>
              <w:t xml:space="preserve"> on alternate days up to </w:t>
            </w:r>
            <w:r>
              <w:rPr>
                <w:rFonts w:ascii="Calibri" w:hAnsi="Calibri"/>
              </w:rPr>
              <w:t>10</w:t>
            </w:r>
            <w:r w:rsidR="00A04FB3">
              <w:rPr>
                <w:rFonts w:ascii="Calibri" w:hAnsi="Calibri"/>
              </w:rPr>
              <w:t>g once daily</w:t>
            </w:r>
            <w:r w:rsidR="00FE165A">
              <w:rPr>
                <w:rFonts w:ascii="Calibri" w:hAnsi="Calibri"/>
              </w:rPr>
              <w:t xml:space="preserve"> depending on potassium.</w:t>
            </w:r>
          </w:p>
          <w:p w14:paraId="4EFA06FF" w14:textId="77777777" w:rsidR="001B6582" w:rsidRPr="001B6582" w:rsidRDefault="00FE165A" w:rsidP="009463FF">
            <w:pPr>
              <w:pStyle w:val="BlockText"/>
              <w:ind w:left="0" w:right="-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more than 10</w:t>
            </w:r>
            <w:r w:rsidR="001B6582" w:rsidRPr="001B6582">
              <w:rPr>
                <w:rFonts w:ascii="Calibri" w:hAnsi="Calibri"/>
              </w:rPr>
              <w:t>g once daily should be used for maintenance therapy.</w:t>
            </w:r>
          </w:p>
          <w:p w14:paraId="68EB5028" w14:textId="77777777" w:rsidR="0036517C" w:rsidRDefault="001B6582" w:rsidP="009463FF">
            <w:pPr>
              <w:pStyle w:val="BlockText"/>
              <w:ind w:left="0" w:right="-79"/>
              <w:rPr>
                <w:rFonts w:ascii="Calibri" w:hAnsi="Calibri"/>
              </w:rPr>
            </w:pPr>
            <w:r w:rsidRPr="001B6582">
              <w:rPr>
                <w:rFonts w:ascii="Calibri" w:hAnsi="Calibri"/>
              </w:rPr>
              <w:t>Serum potassium levels should be monitored regularly during treatment.</w:t>
            </w:r>
            <w:r w:rsidR="00A04FB3">
              <w:rPr>
                <w:rFonts w:ascii="Calibri" w:hAnsi="Calibri"/>
              </w:rPr>
              <w:t xml:space="preserve"> </w:t>
            </w:r>
          </w:p>
          <w:p w14:paraId="266F0179" w14:textId="77777777" w:rsidR="00AE3CD2" w:rsidRDefault="00AE3CD2" w:rsidP="009463FF">
            <w:pPr>
              <w:pStyle w:val="BlockText"/>
              <w:ind w:left="0" w:right="-79"/>
              <w:rPr>
                <w:rFonts w:ascii="Calibri" w:hAnsi="Calibri"/>
              </w:rPr>
            </w:pPr>
          </w:p>
          <w:p w14:paraId="0B984ADD" w14:textId="77777777" w:rsidR="00AE3CD2" w:rsidRDefault="00AE3CD2" w:rsidP="009463FF">
            <w:pPr>
              <w:pStyle w:val="BlockText"/>
              <w:ind w:left="0" w:right="-7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a patient misses a dose they should be instructed to take the next usual dose at their normal time.</w:t>
            </w:r>
          </w:p>
          <w:p w14:paraId="6C7CB3D5" w14:textId="77777777" w:rsidR="00091619" w:rsidRPr="00823D6C" w:rsidRDefault="00091619" w:rsidP="009463FF">
            <w:pPr>
              <w:pStyle w:val="BlockText"/>
              <w:ind w:left="0" w:right="-79"/>
              <w:rPr>
                <w:rFonts w:ascii="Calibri" w:hAnsi="Calibri"/>
              </w:rPr>
            </w:pPr>
          </w:p>
        </w:tc>
      </w:tr>
      <w:tr w:rsidR="005F044B" w:rsidRPr="00E12BDD" w14:paraId="35FE390B" w14:textId="77777777" w:rsidTr="00E62277">
        <w:tc>
          <w:tcPr>
            <w:tcW w:w="2410" w:type="dxa"/>
          </w:tcPr>
          <w:p w14:paraId="703811F1" w14:textId="77777777" w:rsidR="004427A4" w:rsidRDefault="004427A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Monitoring</w:t>
            </w:r>
          </w:p>
          <w:p w14:paraId="3215467C" w14:textId="77777777" w:rsidR="004427A4" w:rsidRDefault="004427A4">
            <w:pPr>
              <w:rPr>
                <w:rFonts w:ascii="Calibri" w:hAnsi="Calibri" w:cs="Arial"/>
                <w:b/>
              </w:rPr>
            </w:pPr>
          </w:p>
          <w:p w14:paraId="753DC74E" w14:textId="77777777" w:rsidR="004427A4" w:rsidRDefault="004427A4">
            <w:pPr>
              <w:rPr>
                <w:rFonts w:ascii="Calibri" w:hAnsi="Calibri" w:cs="Arial"/>
                <w:b/>
              </w:rPr>
            </w:pPr>
          </w:p>
          <w:p w14:paraId="5E13E762" w14:textId="77777777" w:rsidR="005F044B" w:rsidRPr="00823D6C" w:rsidRDefault="005F044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371" w:type="dxa"/>
          </w:tcPr>
          <w:p w14:paraId="3CA071BE" w14:textId="77777777" w:rsidR="004427A4" w:rsidRPr="00091619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After two weeks of SZC treatment patients</w:t>
            </w:r>
            <w:r w:rsidRPr="00091619">
              <w:rPr>
                <w:rFonts w:ascii="Calibri" w:hAnsi="Calibri" w:cs="Arial"/>
                <w:lang w:val="en-US"/>
              </w:rPr>
              <w:t xml:space="preserve"> can be advised to increas</w:t>
            </w:r>
            <w:r>
              <w:rPr>
                <w:rFonts w:ascii="Calibri" w:hAnsi="Calibri" w:cs="Arial"/>
                <w:lang w:val="en-US"/>
              </w:rPr>
              <w:t>e their RAAS</w:t>
            </w:r>
            <w:r w:rsidRPr="00091619">
              <w:rPr>
                <w:rFonts w:ascii="Calibri" w:hAnsi="Calibri" w:cs="Arial"/>
                <w:lang w:val="en-US"/>
              </w:rPr>
              <w:t xml:space="preserve"> inhibitor</w:t>
            </w:r>
            <w:r>
              <w:rPr>
                <w:rFonts w:ascii="Calibri" w:hAnsi="Calibri" w:cs="Arial"/>
                <w:lang w:val="en-US"/>
              </w:rPr>
              <w:t xml:space="preserve"> dose</w:t>
            </w:r>
            <w:r w:rsidRPr="00091619">
              <w:rPr>
                <w:rFonts w:ascii="Calibri" w:hAnsi="Calibri" w:cs="Arial"/>
                <w:lang w:val="en-US"/>
              </w:rPr>
              <w:t>. Potassium should be measured 1 t</w:t>
            </w:r>
            <w:r>
              <w:rPr>
                <w:rFonts w:ascii="Calibri" w:hAnsi="Calibri" w:cs="Arial"/>
                <w:lang w:val="en-US"/>
              </w:rPr>
              <w:t>o 2 weeks after this dose increase</w:t>
            </w:r>
            <w:r w:rsidRPr="00091619">
              <w:rPr>
                <w:rFonts w:ascii="Calibri" w:hAnsi="Calibri" w:cs="Arial"/>
                <w:lang w:val="en-US"/>
              </w:rPr>
              <w:t xml:space="preserve">. </w:t>
            </w:r>
            <w:r>
              <w:rPr>
                <w:rFonts w:ascii="Calibri" w:hAnsi="Calibri" w:cs="Arial"/>
                <w:lang w:val="en-US"/>
              </w:rPr>
              <w:t>Action to be taken:</w:t>
            </w:r>
          </w:p>
          <w:p w14:paraId="72386960" w14:textId="77777777" w:rsidR="004427A4" w:rsidRPr="00091619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</w:p>
          <w:p w14:paraId="792F8288" w14:textId="77777777" w:rsidR="004427A4" w:rsidRPr="00091619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 xml:space="preserve">If </w:t>
            </w:r>
            <w:r w:rsidRPr="00091619">
              <w:rPr>
                <w:rFonts w:ascii="Calibri" w:hAnsi="Calibri" w:cs="Arial"/>
                <w:lang w:val="en-US"/>
              </w:rPr>
              <w:t>potassium &lt;4mmol/L</w:t>
            </w:r>
            <w:r>
              <w:rPr>
                <w:rFonts w:ascii="Calibri" w:hAnsi="Calibri" w:cs="Arial"/>
                <w:lang w:val="en-US"/>
              </w:rPr>
              <w:t xml:space="preserve"> - reduce dose to 5g alternate days and recheck potassium in two to four weeks.</w:t>
            </w:r>
          </w:p>
          <w:p w14:paraId="2EAF8295" w14:textId="77777777" w:rsidR="004427A4" w:rsidRPr="00091619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</w:p>
          <w:p w14:paraId="1E316C9E" w14:textId="77777777" w:rsidR="004427A4" w:rsidRPr="00091619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If potassium &gt;5.2</w:t>
            </w:r>
            <w:r w:rsidRPr="00091619">
              <w:rPr>
                <w:rFonts w:ascii="Calibri" w:hAnsi="Calibri" w:cs="Arial"/>
                <w:lang w:val="en-US"/>
              </w:rPr>
              <w:t>mmol/L</w:t>
            </w:r>
            <w:r>
              <w:rPr>
                <w:rFonts w:ascii="Calibri" w:hAnsi="Calibri" w:cs="Arial"/>
                <w:lang w:val="en-US"/>
              </w:rPr>
              <w:t xml:space="preserve"> – Increase dose</w:t>
            </w:r>
            <w:r w:rsidRPr="00091619">
              <w:rPr>
                <w:rFonts w:ascii="Calibri" w:hAnsi="Calibri" w:cs="Arial"/>
                <w:lang w:val="en-US"/>
              </w:rPr>
              <w:t xml:space="preserve"> to 1</w:t>
            </w:r>
            <w:r>
              <w:rPr>
                <w:rFonts w:ascii="Calibri" w:hAnsi="Calibri" w:cs="Arial"/>
                <w:lang w:val="en-US"/>
              </w:rPr>
              <w:t>0g once daily and recheck potassium in two to four weeks</w:t>
            </w:r>
            <w:r w:rsidRPr="00091619">
              <w:rPr>
                <w:rFonts w:ascii="Calibri" w:hAnsi="Calibri" w:cs="Arial"/>
                <w:lang w:val="en-US"/>
              </w:rPr>
              <w:t xml:space="preserve">. </w:t>
            </w:r>
          </w:p>
          <w:p w14:paraId="69209EBF" w14:textId="77777777" w:rsidR="004427A4" w:rsidRPr="00091619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</w:p>
          <w:p w14:paraId="2376EBD1" w14:textId="77777777" w:rsidR="004427A4" w:rsidRPr="00091619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Once stable, p</w:t>
            </w:r>
            <w:r w:rsidRPr="00091619">
              <w:rPr>
                <w:rFonts w:ascii="Calibri" w:hAnsi="Calibri" w:cs="Arial"/>
                <w:lang w:val="en-US"/>
              </w:rPr>
              <w:t xml:space="preserve">atients </w:t>
            </w:r>
            <w:r>
              <w:rPr>
                <w:rFonts w:ascii="Calibri" w:hAnsi="Calibri" w:cs="Arial"/>
                <w:lang w:val="en-US"/>
              </w:rPr>
              <w:t xml:space="preserve">potassium </w:t>
            </w:r>
            <w:r w:rsidRPr="00091619">
              <w:rPr>
                <w:rFonts w:ascii="Calibri" w:hAnsi="Calibri" w:cs="Arial"/>
                <w:lang w:val="en-US"/>
              </w:rPr>
              <w:t>sho</w:t>
            </w:r>
            <w:r>
              <w:rPr>
                <w:rFonts w:ascii="Calibri" w:hAnsi="Calibri" w:cs="Arial"/>
                <w:lang w:val="en-US"/>
              </w:rPr>
              <w:t>uld be monitored approximately every three to four months and dose adjusted as above.</w:t>
            </w:r>
          </w:p>
          <w:p w14:paraId="24417004" w14:textId="77777777" w:rsidR="004427A4" w:rsidRPr="00091619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</w:p>
          <w:p w14:paraId="7D73210A" w14:textId="77777777" w:rsidR="004427A4" w:rsidRPr="00091619" w:rsidRDefault="004427A4" w:rsidP="004427A4">
            <w:pPr>
              <w:jc w:val="both"/>
              <w:rPr>
                <w:rFonts w:ascii="Calibri" w:hAnsi="Calibri" w:cs="Arial"/>
              </w:rPr>
            </w:pPr>
            <w:r w:rsidRPr="00091619">
              <w:rPr>
                <w:rFonts w:ascii="Calibri" w:hAnsi="Calibri" w:cs="Arial"/>
                <w:lang w:val="en-US"/>
              </w:rPr>
              <w:t xml:space="preserve">If patients continue to suffer from hyperkalaemia despite the use of maximal dose </w:t>
            </w:r>
            <w:r>
              <w:rPr>
                <w:rFonts w:ascii="Calibri" w:hAnsi="Calibri" w:cs="Arial"/>
                <w:lang w:val="en-US"/>
              </w:rPr>
              <w:t xml:space="preserve">of SZC the dosage of RAAS inhibitor should be reduced. If the dose of the RAAS inhibitor </w:t>
            </w:r>
            <w:r w:rsidRPr="00091619">
              <w:rPr>
                <w:rFonts w:ascii="Calibri" w:hAnsi="Calibri" w:cs="Arial"/>
                <w:lang w:val="en-US"/>
              </w:rPr>
              <w:t>cannot be increased above the baseline dosage then SZC should be stopped</w:t>
            </w:r>
            <w:r>
              <w:rPr>
                <w:rFonts w:ascii="Calibri" w:hAnsi="Calibri" w:cs="Arial"/>
                <w:lang w:val="en-US"/>
              </w:rPr>
              <w:t>.</w:t>
            </w:r>
          </w:p>
          <w:p w14:paraId="44C789CC" w14:textId="77777777" w:rsidR="00757560" w:rsidRPr="00823D6C" w:rsidRDefault="00757560" w:rsidP="004427A4">
            <w:pPr>
              <w:pStyle w:val="BlockText"/>
              <w:ind w:left="0" w:right="-79"/>
              <w:rPr>
                <w:rFonts w:ascii="Calibri" w:hAnsi="Calibri" w:cs="Arial"/>
              </w:rPr>
            </w:pPr>
          </w:p>
        </w:tc>
      </w:tr>
      <w:tr w:rsidR="00BC42D0" w:rsidRPr="00E12BDD" w14:paraId="77365DC1" w14:textId="77777777" w:rsidTr="00E62277">
        <w:tc>
          <w:tcPr>
            <w:tcW w:w="2410" w:type="dxa"/>
          </w:tcPr>
          <w:p w14:paraId="74DF1DFB" w14:textId="77777777" w:rsidR="00BC42D0" w:rsidRDefault="00D7277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Side Effects</w:t>
            </w:r>
          </w:p>
        </w:tc>
        <w:tc>
          <w:tcPr>
            <w:tcW w:w="7371" w:type="dxa"/>
          </w:tcPr>
          <w:p w14:paraId="2E8E0EDC" w14:textId="77777777" w:rsidR="00BC42D0" w:rsidRDefault="007F1988" w:rsidP="005852F5">
            <w:pPr>
              <w:pStyle w:val="BlockText"/>
              <w:ind w:left="0" w:right="-79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Hypokalaemia, oedema</w:t>
            </w:r>
            <w:r w:rsidR="00AE3CD2">
              <w:rPr>
                <w:rFonts w:ascii="Calibri" w:hAnsi="Calibri" w:cs="Arial"/>
              </w:rPr>
              <w:t xml:space="preserve"> related events</w:t>
            </w:r>
            <w:r>
              <w:rPr>
                <w:rFonts w:ascii="Calibri" w:hAnsi="Calibri" w:cs="Arial"/>
              </w:rPr>
              <w:t>, constipation, diarrhoea, nausea</w:t>
            </w:r>
          </w:p>
          <w:p w14:paraId="1ADCDE53" w14:textId="77777777" w:rsidR="00AE3CD2" w:rsidRDefault="00AE3CD2" w:rsidP="005852F5">
            <w:pPr>
              <w:pStyle w:val="BlockText"/>
              <w:ind w:left="0" w:right="-79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QT prolongation – during correction of hyperkalaemia, a lengthening of the QT interval can be observed</w:t>
            </w:r>
            <w:r w:rsidR="004427A4">
              <w:rPr>
                <w:rFonts w:ascii="Calibri" w:hAnsi="Calibri" w:cs="Arial"/>
              </w:rPr>
              <w:t>.</w:t>
            </w:r>
          </w:p>
          <w:p w14:paraId="2649C5CF" w14:textId="77777777" w:rsidR="00091619" w:rsidRPr="007F1988" w:rsidRDefault="00091619" w:rsidP="009463FF">
            <w:pPr>
              <w:pStyle w:val="BlockText"/>
              <w:ind w:left="0" w:right="-79"/>
              <w:rPr>
                <w:rFonts w:ascii="Calibri" w:hAnsi="Calibri" w:cs="Arial"/>
              </w:rPr>
            </w:pPr>
          </w:p>
        </w:tc>
      </w:tr>
      <w:tr w:rsidR="009E30D2" w:rsidRPr="008D568E" w14:paraId="275FC9DA" w14:textId="77777777" w:rsidTr="00E622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A0DB" w14:textId="77777777" w:rsidR="009E30D2" w:rsidRPr="00823D6C" w:rsidRDefault="004427A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Patient Counselling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98E" w14:textId="77777777" w:rsidR="004427A4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Mix the contents of each 5g or 10</w:t>
            </w:r>
            <w:r w:rsidRPr="007F1988">
              <w:rPr>
                <w:rFonts w:ascii="Calibri" w:hAnsi="Calibri" w:cs="Arial"/>
                <w:lang w:val="en-US"/>
              </w:rPr>
              <w:t>g sachet of powder with approximately 45 mL of water and stir well. The powder will not dissolve and the suspension should be taken while it is cloudy; if the powder settles i</w:t>
            </w:r>
            <w:r>
              <w:rPr>
                <w:rFonts w:ascii="Calibri" w:hAnsi="Calibri" w:cs="Arial"/>
                <w:lang w:val="en-US"/>
              </w:rPr>
              <w:t xml:space="preserve">t should be stirred again. Take </w:t>
            </w:r>
            <w:r w:rsidRPr="007F1988">
              <w:rPr>
                <w:rFonts w:ascii="Calibri" w:hAnsi="Calibri" w:cs="Arial"/>
                <w:lang w:val="en-US"/>
              </w:rPr>
              <w:t xml:space="preserve">with or without food. </w:t>
            </w:r>
          </w:p>
          <w:p w14:paraId="5D4C8A23" w14:textId="77777777" w:rsidR="004427A4" w:rsidRPr="007F1988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</w:p>
          <w:p w14:paraId="5C5C3A7A" w14:textId="77777777" w:rsidR="004427A4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  <w:r w:rsidRPr="007F1988">
              <w:rPr>
                <w:rFonts w:ascii="Calibri" w:hAnsi="Calibri" w:cs="Arial"/>
                <w:lang w:val="en-US"/>
              </w:rPr>
              <w:t>Patients shoul</w:t>
            </w:r>
            <w:r>
              <w:rPr>
                <w:rFonts w:ascii="Calibri" w:hAnsi="Calibri" w:cs="Arial"/>
                <w:lang w:val="en-US"/>
              </w:rPr>
              <w:t>d be advised of potential side effects and seek medical attention if they develop swelling of their ankles.</w:t>
            </w:r>
          </w:p>
          <w:p w14:paraId="593C4B63" w14:textId="77777777" w:rsidR="004427A4" w:rsidRPr="007F1988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</w:p>
          <w:p w14:paraId="7924F279" w14:textId="24D5E7FE" w:rsidR="004427A4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SZC is considered high in sodium therefore p</w:t>
            </w:r>
            <w:r w:rsidRPr="007F1988">
              <w:rPr>
                <w:rFonts w:ascii="Calibri" w:hAnsi="Calibri" w:cs="Arial"/>
                <w:lang w:val="en-US"/>
              </w:rPr>
              <w:t>atients should be advised to reduce salt intake (as would be the case for all patients in whom inhibitors of the renin angiotensin system are indic</w:t>
            </w:r>
            <w:r>
              <w:rPr>
                <w:rFonts w:ascii="Calibri" w:hAnsi="Calibri" w:cs="Arial"/>
                <w:lang w:val="en-US"/>
              </w:rPr>
              <w:t>ated) and not to use “</w:t>
            </w:r>
            <w:proofErr w:type="spellStart"/>
            <w:r>
              <w:rPr>
                <w:rFonts w:ascii="Calibri" w:hAnsi="Calibri" w:cs="Arial"/>
                <w:lang w:val="en-US"/>
              </w:rPr>
              <w:t>lo</w:t>
            </w:r>
            <w:proofErr w:type="spellEnd"/>
            <w:r>
              <w:rPr>
                <w:rFonts w:ascii="Calibri" w:hAnsi="Calibri" w:cs="Arial"/>
                <w:lang w:val="en-US"/>
              </w:rPr>
              <w:t>-salt”</w:t>
            </w:r>
            <w:r w:rsidR="00E62277">
              <w:rPr>
                <w:rFonts w:ascii="Calibri" w:hAnsi="Calibri" w:cs="Arial"/>
                <w:lang w:val="en-US"/>
              </w:rPr>
              <w:t xml:space="preserve"> (because this is high in potassium).  </w:t>
            </w:r>
          </w:p>
          <w:p w14:paraId="1977002C" w14:textId="77777777" w:rsidR="004427A4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</w:p>
          <w:p w14:paraId="054E6756" w14:textId="77777777" w:rsidR="004427A4" w:rsidRDefault="004427A4" w:rsidP="004427A4">
            <w:pPr>
              <w:jc w:val="both"/>
              <w:rPr>
                <w:rFonts w:ascii="Calibri" w:hAnsi="Calibri" w:cs="Arial"/>
                <w:lang w:val="en-US"/>
              </w:rPr>
            </w:pPr>
            <w:r w:rsidRPr="00710221">
              <w:rPr>
                <w:rFonts w:ascii="Calibri" w:hAnsi="Calibri" w:cs="Arial"/>
                <w:lang w:val="en-US"/>
              </w:rPr>
              <w:lastRenderedPageBreak/>
              <w:t>Patients should be advised that SZC may be opaque to X-rays and if undergoing any abdominal x-ray they should let the radiographer know that they are on this drug.</w:t>
            </w:r>
          </w:p>
          <w:p w14:paraId="2BDF0F6E" w14:textId="77777777" w:rsidR="004427A4" w:rsidRPr="00757560" w:rsidRDefault="004427A4" w:rsidP="009463FF">
            <w:pPr>
              <w:jc w:val="both"/>
              <w:rPr>
                <w:rFonts w:ascii="Calibri" w:hAnsi="Calibri" w:cs="Arial"/>
              </w:rPr>
            </w:pPr>
          </w:p>
        </w:tc>
      </w:tr>
      <w:tr w:rsidR="00082BBD" w:rsidRPr="008D568E" w14:paraId="1CB14782" w14:textId="77777777" w:rsidTr="00E622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7056" w14:textId="77777777" w:rsidR="00082BBD" w:rsidRPr="00082BBD" w:rsidRDefault="004427A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Drug Interactions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594D" w14:textId="77777777" w:rsidR="004427A4" w:rsidRDefault="004427A4" w:rsidP="004427A4">
            <w:pPr>
              <w:jc w:val="both"/>
              <w:rPr>
                <w:rFonts w:ascii="Calibri" w:hAnsi="Calibri" w:cs="Arial"/>
              </w:rPr>
            </w:pPr>
            <w:r w:rsidRPr="001F184C">
              <w:rPr>
                <w:rFonts w:ascii="Calibri" w:hAnsi="Calibri" w:cs="Arial"/>
              </w:rPr>
              <w:t>A</w:t>
            </w:r>
            <w:r>
              <w:rPr>
                <w:rFonts w:ascii="Calibri" w:hAnsi="Calibri" w:cs="Arial"/>
              </w:rPr>
              <w:t>s SZC</w:t>
            </w:r>
            <w:r w:rsidRPr="001F184C">
              <w:rPr>
                <w:rFonts w:ascii="Calibri" w:hAnsi="Calibri" w:cs="Arial"/>
              </w:rPr>
              <w:t xml:space="preserve"> is not absorbed or metabolised by the body, and does not meaningfully bind other medicinal products, there are limited effects on other medicinal products</w:t>
            </w:r>
            <w:r>
              <w:rPr>
                <w:rFonts w:ascii="Calibri" w:hAnsi="Calibri" w:cs="Arial"/>
              </w:rPr>
              <w:t xml:space="preserve">. </w:t>
            </w:r>
          </w:p>
          <w:p w14:paraId="3B0FB272" w14:textId="77777777" w:rsidR="004427A4" w:rsidRDefault="004427A4" w:rsidP="004427A4">
            <w:pPr>
              <w:jc w:val="both"/>
              <w:rPr>
                <w:rFonts w:ascii="Calibri" w:hAnsi="Calibri" w:cs="Arial"/>
              </w:rPr>
            </w:pPr>
          </w:p>
          <w:p w14:paraId="643D803A" w14:textId="77777777" w:rsidR="004427A4" w:rsidRDefault="004427A4" w:rsidP="004427A4">
            <w:pPr>
              <w:jc w:val="both"/>
              <w:rPr>
                <w:rFonts w:ascii="Calibri" w:hAnsi="Calibri" w:cs="Arial"/>
              </w:rPr>
            </w:pPr>
            <w:r w:rsidRPr="00AE3CD2">
              <w:rPr>
                <w:rFonts w:ascii="Calibri" w:hAnsi="Calibri" w:cs="Arial"/>
              </w:rPr>
              <w:t xml:space="preserve">SZC can transiently increase gastric pH by absorbing hydrogen ions and can lead to changes in solubility and absorption kinetics for co-administered medicinal products with pH-dependent bioavailability. These drugs should be administered 2 hours before or after SZC: </w:t>
            </w:r>
          </w:p>
          <w:p w14:paraId="266D0F7B" w14:textId="77777777" w:rsidR="004427A4" w:rsidRDefault="004427A4" w:rsidP="004427A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Arial"/>
              </w:rPr>
            </w:pPr>
            <w:r w:rsidRPr="00AE3CD2">
              <w:rPr>
                <w:rFonts w:ascii="Calibri" w:hAnsi="Calibri" w:cs="Arial"/>
              </w:rPr>
              <w:t xml:space="preserve">antifungals (ketoconazole, itraconazole and posaconazole), </w:t>
            </w:r>
          </w:p>
          <w:p w14:paraId="40F7B66E" w14:textId="77777777" w:rsidR="004427A4" w:rsidRDefault="004427A4" w:rsidP="004427A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Arial"/>
              </w:rPr>
            </w:pPr>
            <w:r w:rsidRPr="00AE3CD2">
              <w:rPr>
                <w:rFonts w:ascii="Calibri" w:hAnsi="Calibri" w:cs="Arial"/>
              </w:rPr>
              <w:t>anti-HIV drugs (atazanavir, nelfinavir, indinavir, ritonavir, saquinavir, raltegravir,</w:t>
            </w:r>
            <w:r>
              <w:rPr>
                <w:rFonts w:ascii="Calibri" w:hAnsi="Calibri" w:cs="Arial"/>
              </w:rPr>
              <w:t xml:space="preserve"> ledipasvir and rilpivirine)</w:t>
            </w:r>
            <w:r w:rsidRPr="00AE3CD2">
              <w:rPr>
                <w:rFonts w:ascii="Calibri" w:hAnsi="Calibri" w:cs="Arial"/>
              </w:rPr>
              <w:t xml:space="preserve"> </w:t>
            </w:r>
          </w:p>
          <w:p w14:paraId="7A1E5E24" w14:textId="77777777" w:rsidR="004427A4" w:rsidRPr="00AE3CD2" w:rsidRDefault="004427A4" w:rsidP="004427A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Arial"/>
              </w:rPr>
            </w:pPr>
            <w:r w:rsidRPr="00AE3CD2">
              <w:rPr>
                <w:rFonts w:ascii="Calibri" w:hAnsi="Calibri" w:cs="Arial"/>
              </w:rPr>
              <w:t>tyrosine kinase inhibitors (erlotinib, dasatinib and nilotinib).</w:t>
            </w:r>
          </w:p>
          <w:p w14:paraId="7A0E9684" w14:textId="77777777" w:rsidR="00082BBD" w:rsidRPr="00082BBD" w:rsidRDefault="00082BBD" w:rsidP="004427A4">
            <w:pPr>
              <w:jc w:val="both"/>
              <w:rPr>
                <w:rFonts w:ascii="Calibri" w:hAnsi="Calibri" w:cs="Arial"/>
              </w:rPr>
            </w:pPr>
          </w:p>
        </w:tc>
      </w:tr>
    </w:tbl>
    <w:p w14:paraId="5810FBF3" w14:textId="77777777" w:rsidR="005F044B" w:rsidRPr="0035107A" w:rsidRDefault="005F044B">
      <w:pPr>
        <w:rPr>
          <w:rFonts w:ascii="Calibri" w:hAnsi="Calibri" w:cs="Arial"/>
          <w:sz w:val="28"/>
          <w:szCs w:val="28"/>
        </w:rPr>
      </w:pPr>
    </w:p>
    <w:sectPr w:rsidR="005F044B" w:rsidRPr="0035107A" w:rsidSect="00462756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ECC4" w14:textId="77777777" w:rsidR="00FB22F0" w:rsidRDefault="00FB22F0">
      <w:r>
        <w:separator/>
      </w:r>
    </w:p>
  </w:endnote>
  <w:endnote w:type="continuationSeparator" w:id="0">
    <w:p w14:paraId="67EA42C1" w14:textId="77777777" w:rsidR="00FB22F0" w:rsidRDefault="00FB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5D3D" w14:textId="77777777" w:rsidR="00E62277" w:rsidRDefault="00E62277" w:rsidP="00E62277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>Written by: Tariq Farrah, Nephrologist &amp; Maggie Davidson</w:t>
    </w:r>
  </w:p>
  <w:p w14:paraId="6CBCBC82" w14:textId="77777777" w:rsidR="00E62277" w:rsidRDefault="00E62277" w:rsidP="00E62277">
    <w:pPr>
      <w:pStyle w:val="Footer"/>
      <w:jc w:val="right"/>
      <w:rPr>
        <w:rFonts w:ascii="Calibri" w:hAnsi="Calibri"/>
        <w:i/>
        <w:sz w:val="20"/>
        <w:szCs w:val="20"/>
      </w:rPr>
    </w:pPr>
    <w:r w:rsidRPr="00F80228">
      <w:rPr>
        <w:rFonts w:ascii="Calibri" w:hAnsi="Calibri"/>
        <w:i/>
        <w:sz w:val="20"/>
        <w:szCs w:val="20"/>
      </w:rPr>
      <w:t>Reviewed by</w:t>
    </w:r>
    <w:r>
      <w:rPr>
        <w:rFonts w:ascii="Calibri" w:hAnsi="Calibri"/>
        <w:i/>
        <w:sz w:val="20"/>
        <w:szCs w:val="20"/>
      </w:rPr>
      <w:t>: Rob Hunter, Nephrologist; Maggie Davidson, Renal Pharmacist</w:t>
    </w:r>
  </w:p>
  <w:p w14:paraId="1F98AEC8" w14:textId="77777777" w:rsidR="00E62277" w:rsidRDefault="00E62277" w:rsidP="00E62277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>Last reviewed: Mar 2026</w:t>
    </w:r>
  </w:p>
  <w:p w14:paraId="3F75E355" w14:textId="77777777" w:rsidR="00E62277" w:rsidRDefault="00E62277" w:rsidP="00E62277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>Next review date: Mar 2029</w:t>
    </w:r>
  </w:p>
  <w:p w14:paraId="289F01F5" w14:textId="77777777" w:rsidR="00E62277" w:rsidRDefault="00E62277" w:rsidP="00E62277">
    <w:pPr>
      <w:pStyle w:val="Footer"/>
      <w:jc w:val="right"/>
      <w:rPr>
        <w:rFonts w:ascii="Calibri" w:hAnsi="Calibri"/>
        <w:i/>
        <w:sz w:val="20"/>
        <w:szCs w:val="20"/>
      </w:rPr>
    </w:pPr>
  </w:p>
  <w:p w14:paraId="771AD1D1" w14:textId="77777777" w:rsidR="00E62277" w:rsidRPr="003141D2" w:rsidRDefault="00E62277" w:rsidP="00E62277">
    <w:pPr>
      <w:pStyle w:val="Footer"/>
      <w:jc w:val="right"/>
      <w:rPr>
        <w:rFonts w:ascii="Calibri" w:hAnsi="Calibri"/>
        <w:i/>
        <w:sz w:val="16"/>
        <w:szCs w:val="16"/>
      </w:rPr>
    </w:pPr>
    <w:r w:rsidRPr="003141D2">
      <w:rPr>
        <w:rFonts w:ascii="Calibri" w:hAnsi="Calibri"/>
        <w:i/>
        <w:sz w:val="16"/>
        <w:szCs w:val="16"/>
      </w:rPr>
      <w:t xml:space="preserve">This document was printed on </w:t>
    </w:r>
    <w:r w:rsidRPr="003141D2">
      <w:rPr>
        <w:rFonts w:ascii="Calibri" w:hAnsi="Calibri"/>
        <w:i/>
        <w:sz w:val="16"/>
        <w:szCs w:val="16"/>
      </w:rPr>
      <w:fldChar w:fldCharType="begin"/>
    </w:r>
    <w:r w:rsidRPr="003141D2">
      <w:rPr>
        <w:rFonts w:ascii="Calibri" w:hAnsi="Calibri"/>
        <w:i/>
        <w:sz w:val="16"/>
        <w:szCs w:val="16"/>
      </w:rPr>
      <w:instrText xml:space="preserve"> TIME \@ "dd MMMM yyyy" </w:instrText>
    </w:r>
    <w:r w:rsidRPr="003141D2">
      <w:rPr>
        <w:rFonts w:ascii="Calibri" w:hAnsi="Calibri"/>
        <w:i/>
        <w:sz w:val="16"/>
        <w:szCs w:val="16"/>
      </w:rPr>
      <w:fldChar w:fldCharType="separate"/>
    </w:r>
    <w:r>
      <w:rPr>
        <w:rFonts w:ascii="Calibri" w:hAnsi="Calibri"/>
        <w:i/>
        <w:noProof/>
        <w:sz w:val="16"/>
        <w:szCs w:val="16"/>
      </w:rPr>
      <w:t>18 March 2026</w:t>
    </w:r>
    <w:r w:rsidRPr="003141D2">
      <w:rPr>
        <w:rFonts w:ascii="Calibri" w:hAnsi="Calibri"/>
        <w:i/>
        <w:sz w:val="16"/>
        <w:szCs w:val="16"/>
      </w:rPr>
      <w:fldChar w:fldCharType="end"/>
    </w:r>
    <w:r w:rsidRPr="003141D2">
      <w:rPr>
        <w:rFonts w:ascii="Calibri" w:hAnsi="Calibri"/>
        <w:i/>
        <w:sz w:val="16"/>
        <w:szCs w:val="16"/>
      </w:rPr>
      <w:t xml:space="preserve">; please check </w:t>
    </w:r>
    <w:hyperlink r:id="rId1" w:history="1">
      <w:r w:rsidRPr="003141D2"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 w:rsidRPr="003141D2">
      <w:rPr>
        <w:rFonts w:ascii="Calibri" w:hAnsi="Calibri"/>
        <w:i/>
        <w:sz w:val="16"/>
        <w:szCs w:val="16"/>
      </w:rPr>
      <w:t xml:space="preserve"> for most up-to-date protocol.</w:t>
    </w:r>
  </w:p>
  <w:p w14:paraId="3953931D" w14:textId="77777777" w:rsidR="00E62277" w:rsidRPr="00E62277" w:rsidRDefault="00E62277" w:rsidP="00E62277">
    <w:pPr>
      <w:pStyle w:val="Footer"/>
      <w:rPr>
        <w:rFonts w:ascii="Calibri" w:hAnsi="Calibri"/>
        <w:i/>
        <w:sz w:val="20"/>
        <w:szCs w:val="20"/>
      </w:rPr>
    </w:pPr>
  </w:p>
  <w:p w14:paraId="42A07451" w14:textId="77777777" w:rsidR="00265B19" w:rsidRPr="00F80228" w:rsidRDefault="00265B19" w:rsidP="00F80228">
    <w:pPr>
      <w:pStyle w:val="Footer"/>
      <w:jc w:val="right"/>
      <w:rPr>
        <w:rFonts w:ascii="Calibri" w:hAnsi="Calibr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D3B9" w14:textId="77777777" w:rsidR="00FB22F0" w:rsidRDefault="00FB22F0">
      <w:r>
        <w:separator/>
      </w:r>
    </w:p>
  </w:footnote>
  <w:footnote w:type="continuationSeparator" w:id="0">
    <w:p w14:paraId="27530F54" w14:textId="77777777" w:rsidR="00FB22F0" w:rsidRDefault="00FB2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A6E"/>
    <w:multiLevelType w:val="hybridMultilevel"/>
    <w:tmpl w:val="3AD6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CC7274"/>
    <w:multiLevelType w:val="hybridMultilevel"/>
    <w:tmpl w:val="75C80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A34B1"/>
    <w:multiLevelType w:val="hybridMultilevel"/>
    <w:tmpl w:val="413E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D759E"/>
    <w:multiLevelType w:val="hybridMultilevel"/>
    <w:tmpl w:val="0A84C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E6E3F"/>
    <w:multiLevelType w:val="hybridMultilevel"/>
    <w:tmpl w:val="5CB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11366">
    <w:abstractNumId w:val="2"/>
  </w:num>
  <w:num w:numId="2" w16cid:durableId="1907762276">
    <w:abstractNumId w:val="0"/>
  </w:num>
  <w:num w:numId="3" w16cid:durableId="1797523410">
    <w:abstractNumId w:val="3"/>
  </w:num>
  <w:num w:numId="4" w16cid:durableId="1291472541">
    <w:abstractNumId w:val="4"/>
  </w:num>
  <w:num w:numId="5" w16cid:durableId="650450280">
    <w:abstractNumId w:val="1"/>
  </w:num>
  <w:num w:numId="6" w16cid:durableId="642127621">
    <w:abstractNumId w:val="6"/>
  </w:num>
  <w:num w:numId="7" w16cid:durableId="964192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07A"/>
    <w:rsid w:val="00082BBD"/>
    <w:rsid w:val="00091619"/>
    <w:rsid w:val="000C15F1"/>
    <w:rsid w:val="000E6548"/>
    <w:rsid w:val="000E6E80"/>
    <w:rsid w:val="00160F26"/>
    <w:rsid w:val="00162578"/>
    <w:rsid w:val="00190C0E"/>
    <w:rsid w:val="001A0FE3"/>
    <w:rsid w:val="001B6582"/>
    <w:rsid w:val="001F184C"/>
    <w:rsid w:val="00202975"/>
    <w:rsid w:val="00265B19"/>
    <w:rsid w:val="00286AA7"/>
    <w:rsid w:val="00293B7B"/>
    <w:rsid w:val="002A1B2B"/>
    <w:rsid w:val="002D460B"/>
    <w:rsid w:val="003407C5"/>
    <w:rsid w:val="00342D85"/>
    <w:rsid w:val="00350B93"/>
    <w:rsid w:val="0035107A"/>
    <w:rsid w:val="0036517C"/>
    <w:rsid w:val="003A6E9E"/>
    <w:rsid w:val="003B4A19"/>
    <w:rsid w:val="00435BBF"/>
    <w:rsid w:val="004427A4"/>
    <w:rsid w:val="00462756"/>
    <w:rsid w:val="004862E4"/>
    <w:rsid w:val="004E6F1D"/>
    <w:rsid w:val="005852F5"/>
    <w:rsid w:val="005B056B"/>
    <w:rsid w:val="005B6146"/>
    <w:rsid w:val="005C698A"/>
    <w:rsid w:val="005F044B"/>
    <w:rsid w:val="00615CF2"/>
    <w:rsid w:val="0062055E"/>
    <w:rsid w:val="00653258"/>
    <w:rsid w:val="00665703"/>
    <w:rsid w:val="006C313D"/>
    <w:rsid w:val="00710221"/>
    <w:rsid w:val="00743E14"/>
    <w:rsid w:val="00753EE1"/>
    <w:rsid w:val="00757560"/>
    <w:rsid w:val="007639D7"/>
    <w:rsid w:val="007A7E70"/>
    <w:rsid w:val="007E270E"/>
    <w:rsid w:val="007F1988"/>
    <w:rsid w:val="008067C9"/>
    <w:rsid w:val="008145BE"/>
    <w:rsid w:val="00823D6C"/>
    <w:rsid w:val="00837406"/>
    <w:rsid w:val="00851040"/>
    <w:rsid w:val="00870C3D"/>
    <w:rsid w:val="008776DE"/>
    <w:rsid w:val="008A5BA6"/>
    <w:rsid w:val="008A6538"/>
    <w:rsid w:val="008C2429"/>
    <w:rsid w:val="008C7A93"/>
    <w:rsid w:val="008C7B2E"/>
    <w:rsid w:val="008D568E"/>
    <w:rsid w:val="008E09CB"/>
    <w:rsid w:val="008F40E0"/>
    <w:rsid w:val="009007B7"/>
    <w:rsid w:val="009463FF"/>
    <w:rsid w:val="00972E28"/>
    <w:rsid w:val="0098553F"/>
    <w:rsid w:val="009E3084"/>
    <w:rsid w:val="009E30D2"/>
    <w:rsid w:val="00A04FB3"/>
    <w:rsid w:val="00A34F56"/>
    <w:rsid w:val="00A378FB"/>
    <w:rsid w:val="00A4303E"/>
    <w:rsid w:val="00A71505"/>
    <w:rsid w:val="00A85095"/>
    <w:rsid w:val="00A8712D"/>
    <w:rsid w:val="00AE3CD2"/>
    <w:rsid w:val="00B13A0F"/>
    <w:rsid w:val="00B61F81"/>
    <w:rsid w:val="00B62256"/>
    <w:rsid w:val="00B85BAC"/>
    <w:rsid w:val="00BA2823"/>
    <w:rsid w:val="00BC42D0"/>
    <w:rsid w:val="00BF44DD"/>
    <w:rsid w:val="00BF70E6"/>
    <w:rsid w:val="00C87253"/>
    <w:rsid w:val="00CA1BC0"/>
    <w:rsid w:val="00CB5503"/>
    <w:rsid w:val="00CE4E83"/>
    <w:rsid w:val="00D20563"/>
    <w:rsid w:val="00D61F18"/>
    <w:rsid w:val="00D7277C"/>
    <w:rsid w:val="00E12BDD"/>
    <w:rsid w:val="00E35485"/>
    <w:rsid w:val="00E5750E"/>
    <w:rsid w:val="00E62277"/>
    <w:rsid w:val="00E6232B"/>
    <w:rsid w:val="00EA5478"/>
    <w:rsid w:val="00EB1224"/>
    <w:rsid w:val="00ED237E"/>
    <w:rsid w:val="00EE45BC"/>
    <w:rsid w:val="00F01B82"/>
    <w:rsid w:val="00F80228"/>
    <w:rsid w:val="00FA3A96"/>
    <w:rsid w:val="00FB22F0"/>
    <w:rsid w:val="00FC6D89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8F2AC11"/>
  <w15:docId w15:val="{3330D659-6225-42E4-88CA-A89EA477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7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D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D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paragraph" w:styleId="BlockText">
    <w:name w:val="Block Text"/>
    <w:basedOn w:val="Normal"/>
    <w:uiPriority w:val="99"/>
    <w:rsid w:val="00E5750E"/>
    <w:pPr>
      <w:tabs>
        <w:tab w:val="left" w:pos="1080"/>
      </w:tabs>
      <w:ind w:left="720" w:right="386"/>
      <w:jc w:val="both"/>
    </w:pPr>
  </w:style>
  <w:style w:type="paragraph" w:styleId="BalloonText">
    <w:name w:val="Balloon Text"/>
    <w:basedOn w:val="Normal"/>
    <w:link w:val="BalloonTextChar"/>
    <w:rsid w:val="0097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E2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E622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3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Hunter, Robert W</cp:lastModifiedBy>
  <cp:revision>4</cp:revision>
  <cp:lastPrinted>2017-05-31T17:21:00Z</cp:lastPrinted>
  <dcterms:created xsi:type="dcterms:W3CDTF">2021-06-29T16:05:00Z</dcterms:created>
  <dcterms:modified xsi:type="dcterms:W3CDTF">2026-03-18T12:25:00Z</dcterms:modified>
</cp:coreProperties>
</file>